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C7" w:rsidRDefault="00324F59" w:rsidP="00EC09C7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9C7">
        <w:rPr>
          <w:rFonts w:ascii="Times New Roman" w:hAnsi="Times New Roman"/>
          <w:b/>
          <w:sz w:val="28"/>
          <w:szCs w:val="28"/>
        </w:rPr>
        <w:t>РЕЗУЛЬТАТЫ</w:t>
      </w:r>
      <w:r w:rsidR="0079609C" w:rsidRPr="00EC09C7">
        <w:rPr>
          <w:rFonts w:ascii="Times New Roman" w:hAnsi="Times New Roman"/>
          <w:b/>
          <w:sz w:val="28"/>
          <w:szCs w:val="28"/>
        </w:rPr>
        <w:t xml:space="preserve"> </w:t>
      </w:r>
      <w:r w:rsidRPr="00EC09C7">
        <w:rPr>
          <w:rFonts w:ascii="Times New Roman" w:hAnsi="Times New Roman"/>
          <w:b/>
          <w:sz w:val="28"/>
          <w:szCs w:val="28"/>
        </w:rPr>
        <w:t>ПРОФИЛАКТИЧЕСКИХ ОСМОТРОВ</w:t>
      </w:r>
      <w:r w:rsidR="00EC09C7" w:rsidRPr="00EC09C7">
        <w:rPr>
          <w:rFonts w:ascii="Times New Roman" w:hAnsi="Times New Roman"/>
          <w:b/>
          <w:sz w:val="28"/>
          <w:szCs w:val="28"/>
        </w:rPr>
        <w:t xml:space="preserve"> ДЕТЕЙ И ПОДРОСТКОВ -</w:t>
      </w:r>
      <w:r w:rsidR="00EC09C7">
        <w:rPr>
          <w:rFonts w:ascii="Times New Roman" w:hAnsi="Times New Roman"/>
          <w:b/>
          <w:sz w:val="28"/>
          <w:szCs w:val="28"/>
        </w:rPr>
        <w:t xml:space="preserve"> </w:t>
      </w:r>
      <w:r w:rsidR="00EC09C7" w:rsidRPr="00EC09C7">
        <w:rPr>
          <w:rFonts w:ascii="Times New Roman" w:hAnsi="Times New Roman"/>
          <w:b/>
          <w:sz w:val="28"/>
          <w:szCs w:val="28"/>
        </w:rPr>
        <w:t>ШКОЛЬНИКОВ</w:t>
      </w:r>
      <w:r w:rsidR="0079609C" w:rsidRPr="00EC09C7">
        <w:rPr>
          <w:rFonts w:ascii="Times New Roman" w:hAnsi="Times New Roman"/>
          <w:b/>
          <w:sz w:val="28"/>
          <w:szCs w:val="28"/>
        </w:rPr>
        <w:t xml:space="preserve"> </w:t>
      </w:r>
      <w:r w:rsidR="0079609C" w:rsidRPr="00EC09C7">
        <w:rPr>
          <w:rFonts w:ascii="Times New Roman" w:hAnsi="Times New Roman"/>
          <w:b/>
          <w:caps/>
          <w:sz w:val="28"/>
          <w:szCs w:val="28"/>
        </w:rPr>
        <w:t xml:space="preserve">Волгоградской области </w:t>
      </w:r>
    </w:p>
    <w:p w:rsidR="0079609C" w:rsidRPr="00EC09C7" w:rsidRDefault="0079609C" w:rsidP="00EC09C7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9C7">
        <w:rPr>
          <w:rFonts w:ascii="Times New Roman" w:hAnsi="Times New Roman"/>
          <w:b/>
          <w:caps/>
          <w:sz w:val="28"/>
          <w:szCs w:val="28"/>
        </w:rPr>
        <w:t>в 201</w:t>
      </w:r>
      <w:r w:rsidR="007E3344" w:rsidRPr="00EC09C7">
        <w:rPr>
          <w:rFonts w:ascii="Times New Roman" w:hAnsi="Times New Roman"/>
          <w:b/>
          <w:caps/>
          <w:sz w:val="28"/>
          <w:szCs w:val="28"/>
        </w:rPr>
        <w:t>5</w:t>
      </w:r>
      <w:r w:rsidRPr="00EC09C7">
        <w:rPr>
          <w:rFonts w:ascii="Times New Roman" w:hAnsi="Times New Roman"/>
          <w:b/>
          <w:caps/>
          <w:sz w:val="28"/>
          <w:szCs w:val="28"/>
        </w:rPr>
        <w:t xml:space="preserve"> году</w:t>
      </w:r>
    </w:p>
    <w:p w:rsidR="0079609C" w:rsidRPr="00154EF4" w:rsidRDefault="0079609C" w:rsidP="00DB476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762">
        <w:rPr>
          <w:rFonts w:ascii="Times New Roman" w:hAnsi="Times New Roman"/>
          <w:sz w:val="24"/>
          <w:szCs w:val="24"/>
        </w:rPr>
        <w:t xml:space="preserve">Профилактические медицинские осмотры детей и подростков имеют большое значение для своевременного выявления начала развития патологий. Главной целью профилактических медицинских осмотров является выделение из числа детей и подростков тех, которые имеют некоторые функциональные отклонения, назначение коррекции выявленных отклонений, динамическое наблюдение для предотвращения развития хронических форм патологий. </w:t>
      </w:r>
    </w:p>
    <w:p w:rsidR="007E3344" w:rsidRPr="00154EF4" w:rsidRDefault="007E3344" w:rsidP="007E33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4EF4">
        <w:rPr>
          <w:rFonts w:ascii="Times New Roman" w:hAnsi="Times New Roman"/>
          <w:sz w:val="24"/>
          <w:szCs w:val="24"/>
        </w:rPr>
        <w:t>В 2015 году в Волгоградской области профилактическими медицинскими осмотрами были охвачены 406009 детей до 17 лет включительно, что на 7,8 % больше, чем в 2014 году. За 5 лет число обследованных детей до 17 лет по Волгоградской области увеличилось на 0,2%</w:t>
      </w:r>
      <w:r w:rsidR="00154EF4">
        <w:rPr>
          <w:rFonts w:ascii="Times New Roman" w:hAnsi="Times New Roman"/>
          <w:sz w:val="24"/>
          <w:szCs w:val="24"/>
        </w:rPr>
        <w:t>.</w:t>
      </w:r>
    </w:p>
    <w:p w:rsidR="0079609C" w:rsidRPr="00DA2A4A" w:rsidRDefault="0079609C" w:rsidP="00DB4762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B4762">
        <w:rPr>
          <w:rFonts w:ascii="Times New Roman" w:hAnsi="Times New Roman"/>
          <w:sz w:val="24"/>
          <w:szCs w:val="24"/>
        </w:rPr>
        <w:t xml:space="preserve">Одной из задач профилактических осмотров, проводимых в школах, является выявление так называемых «школьных» болезней, к которым гигиенисты и педиатры относят: </w:t>
      </w:r>
      <w:r w:rsidRPr="00DA2A4A">
        <w:rPr>
          <w:rFonts w:ascii="Times New Roman" w:hAnsi="Times New Roman"/>
          <w:i/>
          <w:sz w:val="24"/>
          <w:szCs w:val="24"/>
        </w:rPr>
        <w:t>нарушение осанки, сколиозы, ранняя близорукость.</w:t>
      </w:r>
    </w:p>
    <w:p w:rsidR="0079609C" w:rsidRPr="00154EF4" w:rsidRDefault="0079609C" w:rsidP="00DB476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B4762">
        <w:rPr>
          <w:rFonts w:ascii="Times New Roman" w:hAnsi="Times New Roman"/>
          <w:b/>
          <w:sz w:val="24"/>
          <w:szCs w:val="24"/>
        </w:rPr>
        <w:t>Сведения о выявленных случаях нарушения осанки у детей и подростков – школьников</w:t>
      </w:r>
      <w:r w:rsidR="00DB4762">
        <w:rPr>
          <w:rFonts w:ascii="Times New Roman" w:hAnsi="Times New Roman"/>
          <w:b/>
          <w:sz w:val="24"/>
          <w:szCs w:val="24"/>
        </w:rPr>
        <w:t>:</w:t>
      </w:r>
    </w:p>
    <w:p w:rsidR="007E2202" w:rsidRPr="00154EF4" w:rsidRDefault="007E3344" w:rsidP="007E334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EF4">
        <w:rPr>
          <w:rFonts w:ascii="Times New Roman" w:hAnsi="Times New Roman"/>
          <w:sz w:val="24"/>
          <w:szCs w:val="24"/>
        </w:rPr>
        <w:t xml:space="preserve">Из 406009 детей (до 17 лет включительно), осмотренных в 2015г. было выявлено 25402 (6,3%) детей </w:t>
      </w:r>
      <w:r w:rsidRPr="00154EF4">
        <w:rPr>
          <w:rFonts w:ascii="Times New Roman" w:hAnsi="Times New Roman"/>
          <w:i/>
          <w:sz w:val="24"/>
          <w:szCs w:val="24"/>
        </w:rPr>
        <w:t xml:space="preserve">с нарушением осанки, </w:t>
      </w:r>
      <w:r w:rsidRPr="00154EF4">
        <w:rPr>
          <w:rFonts w:ascii="Times New Roman" w:hAnsi="Times New Roman"/>
          <w:sz w:val="24"/>
          <w:szCs w:val="24"/>
        </w:rPr>
        <w:t>данный показатель ниже, чем в среднем по Российской Федерации в 2014г. (6,5%). За 3 года удельный вес детей</w:t>
      </w:r>
      <w:proofErr w:type="gramStart"/>
      <w:r w:rsidRPr="00154EF4">
        <w:rPr>
          <w:rFonts w:ascii="Times New Roman" w:hAnsi="Times New Roman"/>
          <w:sz w:val="24"/>
          <w:szCs w:val="24"/>
        </w:rPr>
        <w:t xml:space="preserve"> (%) </w:t>
      </w:r>
      <w:proofErr w:type="gramEnd"/>
      <w:r w:rsidRPr="00154EF4">
        <w:rPr>
          <w:rFonts w:ascii="Times New Roman" w:hAnsi="Times New Roman"/>
          <w:sz w:val="24"/>
          <w:szCs w:val="24"/>
        </w:rPr>
        <w:t xml:space="preserve">с выявленным нарушением осанки снизился с 8,1% до 6,3%. </w:t>
      </w:r>
      <w:r w:rsidR="007E2202" w:rsidRPr="00154EF4">
        <w:rPr>
          <w:rFonts w:ascii="Times New Roman" w:hAnsi="Times New Roman"/>
          <w:sz w:val="24"/>
          <w:szCs w:val="24"/>
        </w:rPr>
        <w:t>Удельный вес детей с нарушениями осанки, выявленными при профилактических осмотрах, резко увеличивается от момента поступления в  школу ко времени перехода к предметному обучению (4-5 классы) и до 15 лет включительно (рис.</w:t>
      </w:r>
      <w:r w:rsidR="00F22DE8" w:rsidRPr="00154EF4">
        <w:rPr>
          <w:rFonts w:ascii="Times New Roman" w:hAnsi="Times New Roman"/>
          <w:sz w:val="24"/>
          <w:szCs w:val="24"/>
        </w:rPr>
        <w:t xml:space="preserve"> 1)</w:t>
      </w:r>
      <w:r w:rsidR="007E2202" w:rsidRPr="00154EF4">
        <w:rPr>
          <w:rFonts w:ascii="Times New Roman" w:hAnsi="Times New Roman"/>
          <w:sz w:val="24"/>
          <w:szCs w:val="24"/>
        </w:rPr>
        <w:t>.</w:t>
      </w:r>
    </w:p>
    <w:p w:rsidR="007E2202" w:rsidRDefault="007E2202" w:rsidP="007E220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220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81675" cy="2190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2DE8" w:rsidRPr="00154EF4" w:rsidRDefault="00F22DE8" w:rsidP="00F22DE8">
      <w:pPr>
        <w:tabs>
          <w:tab w:val="left" w:pos="2910"/>
        </w:tabs>
        <w:jc w:val="center"/>
        <w:rPr>
          <w:rFonts w:ascii="Times New Roman" w:hAnsi="Times New Roman"/>
        </w:rPr>
      </w:pPr>
      <w:r w:rsidRPr="00154EF4">
        <w:rPr>
          <w:rFonts w:ascii="Times New Roman" w:hAnsi="Times New Roman"/>
          <w:b/>
        </w:rPr>
        <w:t>Рис. 1.</w:t>
      </w:r>
      <w:r w:rsidRPr="00154EF4">
        <w:rPr>
          <w:rFonts w:ascii="Times New Roman" w:hAnsi="Times New Roman"/>
        </w:rPr>
        <w:t xml:space="preserve"> Динамика выявленных при профилактических осмотрах случаев нарушения осанки среди детей и подростков</w:t>
      </w:r>
      <w:proofErr w:type="gramStart"/>
      <w:r w:rsidRPr="00154EF4">
        <w:rPr>
          <w:rFonts w:ascii="Times New Roman" w:hAnsi="Times New Roman"/>
        </w:rPr>
        <w:t xml:space="preserve"> (%) </w:t>
      </w:r>
      <w:proofErr w:type="gramEnd"/>
      <w:r w:rsidRPr="00154EF4">
        <w:rPr>
          <w:rFonts w:ascii="Times New Roman" w:hAnsi="Times New Roman"/>
        </w:rPr>
        <w:t>в 2013-2015г.г.</w:t>
      </w:r>
    </w:p>
    <w:p w:rsidR="007E3344" w:rsidRPr="00154EF4" w:rsidRDefault="007E3344" w:rsidP="00154EF4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54EF4">
        <w:rPr>
          <w:rFonts w:ascii="Times New Roman" w:hAnsi="Times New Roman"/>
          <w:sz w:val="24"/>
          <w:szCs w:val="24"/>
        </w:rPr>
        <w:t xml:space="preserve">Наиболее высокий удельный вес детей с  выявленными случаями нарушения осанки в 2015 году (выше </w:t>
      </w:r>
      <w:proofErr w:type="spellStart"/>
      <w:r w:rsidRPr="00154EF4">
        <w:rPr>
          <w:rFonts w:ascii="Times New Roman" w:hAnsi="Times New Roman"/>
          <w:sz w:val="24"/>
          <w:szCs w:val="24"/>
        </w:rPr>
        <w:t>среднеобластного</w:t>
      </w:r>
      <w:proofErr w:type="spellEnd"/>
      <w:r w:rsidRPr="00154EF4">
        <w:rPr>
          <w:rFonts w:ascii="Times New Roman" w:hAnsi="Times New Roman"/>
          <w:sz w:val="24"/>
          <w:szCs w:val="24"/>
        </w:rPr>
        <w:t xml:space="preserve"> показателя) зафиксирован в </w:t>
      </w:r>
      <w:proofErr w:type="gramStart"/>
      <w:r w:rsidRPr="00154EF4">
        <w:rPr>
          <w:rFonts w:ascii="Times New Roman" w:hAnsi="Times New Roman"/>
          <w:sz w:val="24"/>
          <w:szCs w:val="24"/>
        </w:rPr>
        <w:t>г</w:t>
      </w:r>
      <w:proofErr w:type="gramEnd"/>
      <w:r w:rsidRPr="00154EF4">
        <w:rPr>
          <w:rFonts w:ascii="Times New Roman" w:hAnsi="Times New Roman"/>
          <w:sz w:val="24"/>
          <w:szCs w:val="24"/>
        </w:rPr>
        <w:t>. Михайловке и Михайловскому району, Новоаннинском, Нехаевском районах, г. Волжском.</w:t>
      </w:r>
    </w:p>
    <w:p w:rsidR="0079609C" w:rsidRPr="00DB4762" w:rsidRDefault="0079609C" w:rsidP="00DB476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4762">
        <w:rPr>
          <w:rFonts w:ascii="Times New Roman" w:hAnsi="Times New Roman"/>
          <w:sz w:val="24"/>
          <w:szCs w:val="24"/>
        </w:rPr>
        <w:tab/>
      </w:r>
      <w:r w:rsidRPr="00424FB3">
        <w:rPr>
          <w:rFonts w:ascii="Times New Roman" w:hAnsi="Times New Roman"/>
          <w:b/>
          <w:sz w:val="24"/>
          <w:szCs w:val="24"/>
        </w:rPr>
        <w:t>Сведения о выявленных случаях сколиоза у детей и подростков – школьников</w:t>
      </w:r>
      <w:r w:rsidR="00DB4762" w:rsidRPr="00424FB3">
        <w:rPr>
          <w:rFonts w:ascii="Times New Roman" w:hAnsi="Times New Roman"/>
          <w:b/>
          <w:sz w:val="24"/>
          <w:szCs w:val="24"/>
        </w:rPr>
        <w:t>:</w:t>
      </w:r>
    </w:p>
    <w:p w:rsidR="0059516F" w:rsidRPr="00424FB3" w:rsidRDefault="0059516F" w:rsidP="00DB476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4FB3">
        <w:rPr>
          <w:rFonts w:ascii="Times New Roman" w:hAnsi="Times New Roman"/>
          <w:sz w:val="24"/>
          <w:szCs w:val="24"/>
        </w:rPr>
        <w:t xml:space="preserve">В 2015 году в Волгоградской области были осмотрены дети и подростки-школьники в количестве 406009 человек, из них у  5840 детей и подростков до 17 лет выявлен  </w:t>
      </w:r>
      <w:r w:rsidRPr="00424FB3">
        <w:rPr>
          <w:rFonts w:ascii="Times New Roman" w:hAnsi="Times New Roman"/>
          <w:i/>
          <w:sz w:val="24"/>
          <w:szCs w:val="24"/>
        </w:rPr>
        <w:t xml:space="preserve">сколиоз, </w:t>
      </w:r>
      <w:r w:rsidRPr="00424FB3">
        <w:rPr>
          <w:rFonts w:ascii="Times New Roman" w:hAnsi="Times New Roman"/>
          <w:sz w:val="24"/>
          <w:szCs w:val="24"/>
        </w:rPr>
        <w:t>что составляет</w:t>
      </w:r>
      <w:r w:rsidRPr="00424FB3">
        <w:rPr>
          <w:rFonts w:ascii="Times New Roman" w:hAnsi="Times New Roman"/>
          <w:i/>
          <w:sz w:val="24"/>
          <w:szCs w:val="24"/>
        </w:rPr>
        <w:t xml:space="preserve"> </w:t>
      </w:r>
      <w:r w:rsidRPr="00424FB3">
        <w:rPr>
          <w:rFonts w:ascii="Times New Roman" w:hAnsi="Times New Roman"/>
          <w:sz w:val="24"/>
          <w:szCs w:val="24"/>
        </w:rPr>
        <w:t xml:space="preserve"> 1,4%, что несколько ниже, чем в целом по Российской </w:t>
      </w:r>
      <w:r w:rsidRPr="00424FB3">
        <w:rPr>
          <w:rFonts w:ascii="Times New Roman" w:hAnsi="Times New Roman"/>
          <w:sz w:val="24"/>
          <w:szCs w:val="24"/>
        </w:rPr>
        <w:lastRenderedPageBreak/>
        <w:t>Федерации в 2014г. (1,7%).  За 3 года удельный вес детей</w:t>
      </w:r>
      <w:proofErr w:type="gramStart"/>
      <w:r w:rsidRPr="00424FB3">
        <w:rPr>
          <w:rFonts w:ascii="Times New Roman" w:hAnsi="Times New Roman"/>
          <w:sz w:val="24"/>
          <w:szCs w:val="24"/>
        </w:rPr>
        <w:t xml:space="preserve"> (%) </w:t>
      </w:r>
      <w:proofErr w:type="gramEnd"/>
      <w:r w:rsidRPr="00424FB3">
        <w:rPr>
          <w:rFonts w:ascii="Times New Roman" w:hAnsi="Times New Roman"/>
          <w:sz w:val="24"/>
          <w:szCs w:val="24"/>
        </w:rPr>
        <w:t>с выявленным сколиозом снизился с 2,0% до 1,4%, также как и у</w:t>
      </w:r>
      <w:r w:rsidR="00E73FF2" w:rsidRPr="00424FB3">
        <w:rPr>
          <w:rFonts w:ascii="Times New Roman" w:hAnsi="Times New Roman"/>
          <w:sz w:val="24"/>
          <w:szCs w:val="24"/>
        </w:rPr>
        <w:t xml:space="preserve"> отдельных возрастных категорий. На рис. 2 можно проследить тенденцию</w:t>
      </w:r>
      <w:r w:rsidR="00424FB3" w:rsidRPr="00424FB3">
        <w:rPr>
          <w:rFonts w:ascii="Times New Roman" w:hAnsi="Times New Roman"/>
          <w:sz w:val="24"/>
          <w:szCs w:val="24"/>
        </w:rPr>
        <w:t xml:space="preserve"> некоторого снижения удельного веса выявленного сколиоза у разных возрастных групп в динамике за 3 года:</w:t>
      </w:r>
    </w:p>
    <w:p w:rsidR="005605D6" w:rsidRDefault="005605D6" w:rsidP="005605D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605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24955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FB3" w:rsidRDefault="00424FB3" w:rsidP="00424FB3">
      <w:pPr>
        <w:tabs>
          <w:tab w:val="left" w:pos="2910"/>
        </w:tabs>
        <w:jc w:val="center"/>
        <w:rPr>
          <w:rFonts w:ascii="Times New Roman" w:hAnsi="Times New Roman"/>
        </w:rPr>
      </w:pPr>
      <w:r w:rsidRPr="00154EF4">
        <w:rPr>
          <w:rFonts w:ascii="Times New Roman" w:hAnsi="Times New Roman"/>
          <w:b/>
        </w:rPr>
        <w:t>Рис. 1.</w:t>
      </w:r>
      <w:r w:rsidRPr="00154EF4">
        <w:rPr>
          <w:rFonts w:ascii="Times New Roman" w:hAnsi="Times New Roman"/>
        </w:rPr>
        <w:t xml:space="preserve"> Динамика выявленных при профилактических осмотрах случаев </w:t>
      </w:r>
      <w:r>
        <w:rPr>
          <w:rFonts w:ascii="Times New Roman" w:hAnsi="Times New Roman"/>
        </w:rPr>
        <w:t>сколиоза</w:t>
      </w:r>
      <w:r w:rsidRPr="00154EF4">
        <w:rPr>
          <w:rFonts w:ascii="Times New Roman" w:hAnsi="Times New Roman"/>
        </w:rPr>
        <w:t xml:space="preserve"> среди детей и подростков</w:t>
      </w:r>
      <w:proofErr w:type="gramStart"/>
      <w:r w:rsidRPr="00154EF4">
        <w:rPr>
          <w:rFonts w:ascii="Times New Roman" w:hAnsi="Times New Roman"/>
        </w:rPr>
        <w:t xml:space="preserve"> (%) </w:t>
      </w:r>
      <w:proofErr w:type="gramEnd"/>
      <w:r w:rsidRPr="00154EF4">
        <w:rPr>
          <w:rFonts w:ascii="Times New Roman" w:hAnsi="Times New Roman"/>
        </w:rPr>
        <w:t>в 2013-2015г.г.</w:t>
      </w:r>
    </w:p>
    <w:p w:rsidR="00424FB3" w:rsidRPr="00424FB3" w:rsidRDefault="00424FB3" w:rsidP="00424F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24FB3">
        <w:rPr>
          <w:rFonts w:ascii="Times New Roman" w:hAnsi="Times New Roman"/>
          <w:sz w:val="24"/>
          <w:szCs w:val="24"/>
        </w:rPr>
        <w:t xml:space="preserve">Наиболее высокий удельный вес детей с выявленным сколиозом из числа осмотренных в 2015 году (выше </w:t>
      </w:r>
      <w:proofErr w:type="spellStart"/>
      <w:r w:rsidRPr="00424FB3">
        <w:rPr>
          <w:rFonts w:ascii="Times New Roman" w:hAnsi="Times New Roman"/>
          <w:sz w:val="24"/>
          <w:szCs w:val="24"/>
        </w:rPr>
        <w:t>среднеобластного</w:t>
      </w:r>
      <w:proofErr w:type="spellEnd"/>
      <w:r w:rsidRPr="00424FB3">
        <w:rPr>
          <w:rFonts w:ascii="Times New Roman" w:hAnsi="Times New Roman"/>
          <w:sz w:val="24"/>
          <w:szCs w:val="24"/>
        </w:rPr>
        <w:t xml:space="preserve"> показателя), зафиксирован  </w:t>
      </w:r>
      <w:proofErr w:type="gramStart"/>
      <w:r w:rsidRPr="00424FB3">
        <w:rPr>
          <w:rFonts w:ascii="Times New Roman" w:hAnsi="Times New Roman"/>
          <w:sz w:val="24"/>
          <w:szCs w:val="24"/>
        </w:rPr>
        <w:t>в</w:t>
      </w:r>
      <w:proofErr w:type="gramEnd"/>
      <w:r w:rsidRPr="00424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4FB3">
        <w:rPr>
          <w:rFonts w:ascii="Times New Roman" w:hAnsi="Times New Roman"/>
          <w:sz w:val="24"/>
          <w:szCs w:val="24"/>
        </w:rPr>
        <w:t>Ленинском</w:t>
      </w:r>
      <w:proofErr w:type="gramEnd"/>
      <w:r w:rsidRPr="00424F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B3">
        <w:rPr>
          <w:rFonts w:ascii="Times New Roman" w:hAnsi="Times New Roman"/>
          <w:sz w:val="24"/>
          <w:szCs w:val="24"/>
        </w:rPr>
        <w:t>Иловлинском</w:t>
      </w:r>
      <w:proofErr w:type="spellEnd"/>
      <w:r w:rsidRPr="00424F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B3">
        <w:rPr>
          <w:rFonts w:ascii="Times New Roman" w:hAnsi="Times New Roman"/>
          <w:sz w:val="24"/>
          <w:szCs w:val="24"/>
        </w:rPr>
        <w:t>Кумылженском</w:t>
      </w:r>
      <w:proofErr w:type="spellEnd"/>
      <w:r w:rsidRPr="00424FB3">
        <w:rPr>
          <w:rFonts w:ascii="Times New Roman" w:hAnsi="Times New Roman"/>
          <w:sz w:val="24"/>
          <w:szCs w:val="24"/>
        </w:rPr>
        <w:t xml:space="preserve"> районах.</w:t>
      </w:r>
    </w:p>
    <w:p w:rsidR="0079609C" w:rsidRPr="00DB4762" w:rsidRDefault="0079609C" w:rsidP="00DB476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4F59">
        <w:rPr>
          <w:rFonts w:ascii="Times New Roman" w:hAnsi="Times New Roman"/>
          <w:b/>
          <w:sz w:val="24"/>
          <w:szCs w:val="24"/>
        </w:rPr>
        <w:t>Сведения о выявленных случаях понижения остроты зрения у детей и подростков – школьников</w:t>
      </w:r>
    </w:p>
    <w:p w:rsidR="0079609C" w:rsidRPr="00EC58CE" w:rsidRDefault="00FB7526" w:rsidP="00DB476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58CE">
        <w:rPr>
          <w:rFonts w:ascii="Times New Roman" w:hAnsi="Times New Roman"/>
          <w:sz w:val="24"/>
          <w:szCs w:val="24"/>
        </w:rPr>
        <w:t xml:space="preserve">Из 3406009 детей и подростков (до 17 лет включительно), осмотренных в 2015г. были выявлены 26403 ребенка </w:t>
      </w:r>
      <w:r w:rsidRPr="00EC58CE">
        <w:rPr>
          <w:rFonts w:ascii="Times New Roman" w:hAnsi="Times New Roman"/>
          <w:i/>
          <w:sz w:val="24"/>
          <w:szCs w:val="24"/>
        </w:rPr>
        <w:t xml:space="preserve">с понижением остроты зрения, </w:t>
      </w:r>
      <w:r w:rsidRPr="00EC58CE">
        <w:rPr>
          <w:rFonts w:ascii="Times New Roman" w:hAnsi="Times New Roman"/>
          <w:sz w:val="24"/>
          <w:szCs w:val="24"/>
        </w:rPr>
        <w:t>что составляет 6,5%, что ниже показателя по Российской Федерации в 2014г. (7,0%). За 3 года удельный вес детей</w:t>
      </w:r>
      <w:proofErr w:type="gramStart"/>
      <w:r w:rsidRPr="00EC58CE">
        <w:rPr>
          <w:rFonts w:ascii="Times New Roman" w:hAnsi="Times New Roman"/>
          <w:sz w:val="24"/>
          <w:szCs w:val="24"/>
        </w:rPr>
        <w:t xml:space="preserve"> (%) </w:t>
      </w:r>
      <w:proofErr w:type="gramEnd"/>
      <w:r w:rsidRPr="00EC58CE">
        <w:rPr>
          <w:rFonts w:ascii="Times New Roman" w:hAnsi="Times New Roman"/>
          <w:sz w:val="24"/>
          <w:szCs w:val="24"/>
        </w:rPr>
        <w:t>с выявленным понижением остроты зрения снизился с 7,0% до 6,5%, однако, перед поступлением в школу, при переходе к предметному обучению, а также в возрасте 15 лет включительно удельный вес детей с выявленной патологией зрения увеличился (рис.3).</w:t>
      </w:r>
    </w:p>
    <w:p w:rsidR="00FB7526" w:rsidRPr="00DB4762" w:rsidRDefault="00EC58CE" w:rsidP="00FB75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8C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00725" cy="245745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609C" w:rsidRPr="00DB4762" w:rsidRDefault="0079609C" w:rsidP="00DB476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58CE" w:rsidRDefault="00EC58CE" w:rsidP="00EC58CE">
      <w:pPr>
        <w:tabs>
          <w:tab w:val="left" w:pos="2910"/>
        </w:tabs>
        <w:jc w:val="center"/>
        <w:rPr>
          <w:rFonts w:ascii="Times New Roman" w:hAnsi="Times New Roman"/>
        </w:rPr>
      </w:pPr>
      <w:r w:rsidRPr="00154EF4">
        <w:rPr>
          <w:rFonts w:ascii="Times New Roman" w:hAnsi="Times New Roman"/>
          <w:b/>
        </w:rPr>
        <w:t>Рис. 1.</w:t>
      </w:r>
      <w:r w:rsidRPr="00154EF4">
        <w:rPr>
          <w:rFonts w:ascii="Times New Roman" w:hAnsi="Times New Roman"/>
        </w:rPr>
        <w:t xml:space="preserve"> Динамика выявленных при профилактических осмотрах случаев </w:t>
      </w:r>
      <w:r>
        <w:rPr>
          <w:rFonts w:ascii="Times New Roman" w:hAnsi="Times New Roman"/>
        </w:rPr>
        <w:t>понижения остроты зрения</w:t>
      </w:r>
      <w:r w:rsidRPr="00154EF4">
        <w:rPr>
          <w:rFonts w:ascii="Times New Roman" w:hAnsi="Times New Roman"/>
        </w:rPr>
        <w:t xml:space="preserve"> среди детей и подростков</w:t>
      </w:r>
      <w:proofErr w:type="gramStart"/>
      <w:r w:rsidRPr="00154EF4">
        <w:rPr>
          <w:rFonts w:ascii="Times New Roman" w:hAnsi="Times New Roman"/>
        </w:rPr>
        <w:t xml:space="preserve"> (%) </w:t>
      </w:r>
      <w:proofErr w:type="gramEnd"/>
      <w:r w:rsidRPr="00154EF4">
        <w:rPr>
          <w:rFonts w:ascii="Times New Roman" w:hAnsi="Times New Roman"/>
        </w:rPr>
        <w:t>в 2013-2015г.г.</w:t>
      </w:r>
    </w:p>
    <w:p w:rsidR="00EC58CE" w:rsidRPr="00EC58CE" w:rsidRDefault="00EC58CE" w:rsidP="00EC5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C58CE">
        <w:rPr>
          <w:rFonts w:ascii="Times New Roman" w:hAnsi="Times New Roman"/>
          <w:sz w:val="24"/>
          <w:szCs w:val="24"/>
        </w:rPr>
        <w:t xml:space="preserve">Наиболее высокий удельный вес детей с  выявленными случаями понижения остроты зрения в 2015 году (выше </w:t>
      </w:r>
      <w:proofErr w:type="spellStart"/>
      <w:r w:rsidRPr="00EC58CE">
        <w:rPr>
          <w:rFonts w:ascii="Times New Roman" w:hAnsi="Times New Roman"/>
          <w:sz w:val="24"/>
          <w:szCs w:val="24"/>
        </w:rPr>
        <w:t>среднеобластного</w:t>
      </w:r>
      <w:proofErr w:type="spellEnd"/>
      <w:r w:rsidRPr="00EC58CE">
        <w:rPr>
          <w:rFonts w:ascii="Times New Roman" w:hAnsi="Times New Roman"/>
          <w:sz w:val="24"/>
          <w:szCs w:val="24"/>
        </w:rPr>
        <w:t xml:space="preserve"> показателя) зафиксирован в </w:t>
      </w:r>
      <w:proofErr w:type="gramStart"/>
      <w:r w:rsidRPr="00EC58CE">
        <w:rPr>
          <w:rFonts w:ascii="Times New Roman" w:hAnsi="Times New Roman"/>
          <w:sz w:val="24"/>
          <w:szCs w:val="24"/>
        </w:rPr>
        <w:t>г</w:t>
      </w:r>
      <w:proofErr w:type="gramEnd"/>
      <w:r w:rsidRPr="00EC58CE">
        <w:rPr>
          <w:rFonts w:ascii="Times New Roman" w:hAnsi="Times New Roman"/>
          <w:sz w:val="24"/>
          <w:szCs w:val="24"/>
        </w:rPr>
        <w:t>.г. Волжском, Урюпинске, Ленинском районе.</w:t>
      </w:r>
    </w:p>
    <w:p w:rsidR="0079609C" w:rsidRPr="00DB4762" w:rsidRDefault="005F62C1" w:rsidP="00DB476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анализе сведений о профилактических осмотрах детей о</w:t>
      </w:r>
      <w:r w:rsidR="0079609C" w:rsidRPr="00DB4762">
        <w:rPr>
          <w:rFonts w:ascii="Times New Roman" w:hAnsi="Times New Roman"/>
          <w:sz w:val="24"/>
          <w:szCs w:val="24"/>
        </w:rPr>
        <w:t>бращает на себя внимание</w:t>
      </w:r>
      <w:r>
        <w:rPr>
          <w:rFonts w:ascii="Times New Roman" w:hAnsi="Times New Roman"/>
          <w:sz w:val="24"/>
          <w:szCs w:val="24"/>
        </w:rPr>
        <w:t xml:space="preserve"> тот факт</w:t>
      </w:r>
      <w:r w:rsidR="0079609C" w:rsidRPr="00DB4762">
        <w:rPr>
          <w:rFonts w:ascii="Times New Roman" w:hAnsi="Times New Roman"/>
          <w:sz w:val="24"/>
          <w:szCs w:val="24"/>
        </w:rPr>
        <w:t xml:space="preserve">, что удельный вес детей с нарушениями, выявленными при профилактических осмотрах, </w:t>
      </w:r>
      <w:r>
        <w:rPr>
          <w:rFonts w:ascii="Times New Roman" w:hAnsi="Times New Roman"/>
          <w:sz w:val="24"/>
          <w:szCs w:val="24"/>
        </w:rPr>
        <w:t>значительно ув</w:t>
      </w:r>
      <w:r w:rsidR="0079609C" w:rsidRPr="00DB4762">
        <w:rPr>
          <w:rFonts w:ascii="Times New Roman" w:hAnsi="Times New Roman"/>
          <w:sz w:val="24"/>
          <w:szCs w:val="24"/>
        </w:rPr>
        <w:t xml:space="preserve">еличивается от момента поступления в  школу ко времени перехода к предметному обучению (4-5 классы). </w:t>
      </w:r>
      <w:proofErr w:type="gramStart"/>
      <w:r w:rsidR="0079609C" w:rsidRPr="00DB4762">
        <w:rPr>
          <w:rFonts w:ascii="Times New Roman" w:hAnsi="Times New Roman"/>
          <w:sz w:val="24"/>
          <w:szCs w:val="24"/>
        </w:rPr>
        <w:t>Так, в 201</w:t>
      </w:r>
      <w:r w:rsidR="00EC359C">
        <w:rPr>
          <w:rFonts w:ascii="Times New Roman" w:hAnsi="Times New Roman"/>
          <w:sz w:val="24"/>
          <w:szCs w:val="24"/>
        </w:rPr>
        <w:t>5</w:t>
      </w:r>
      <w:r w:rsidR="0079609C" w:rsidRPr="00DB4762">
        <w:rPr>
          <w:rFonts w:ascii="Times New Roman" w:hAnsi="Times New Roman"/>
          <w:sz w:val="24"/>
          <w:szCs w:val="24"/>
        </w:rPr>
        <w:t xml:space="preserve"> году, перед поступлением в  школу было выявлено </w:t>
      </w:r>
      <w:r w:rsidR="00EC359C">
        <w:rPr>
          <w:rFonts w:ascii="Times New Roman" w:hAnsi="Times New Roman"/>
          <w:sz w:val="24"/>
          <w:szCs w:val="24"/>
        </w:rPr>
        <w:t>7</w:t>
      </w:r>
      <w:r w:rsidR="0079609C" w:rsidRPr="00DB4762">
        <w:rPr>
          <w:rFonts w:ascii="Times New Roman" w:hAnsi="Times New Roman"/>
          <w:sz w:val="24"/>
          <w:szCs w:val="24"/>
        </w:rPr>
        <w:t>% детей с понижением остроты зрения, при переходе к предметному обучению - 1</w:t>
      </w:r>
      <w:r w:rsidR="00EC359C">
        <w:rPr>
          <w:rFonts w:ascii="Times New Roman" w:hAnsi="Times New Roman"/>
          <w:sz w:val="24"/>
          <w:szCs w:val="24"/>
        </w:rPr>
        <w:t>2</w:t>
      </w:r>
      <w:r w:rsidR="0079609C" w:rsidRPr="00DB4762">
        <w:rPr>
          <w:rFonts w:ascii="Times New Roman" w:hAnsi="Times New Roman"/>
          <w:sz w:val="24"/>
          <w:szCs w:val="24"/>
        </w:rPr>
        <w:t xml:space="preserve">%; с нарушением осанки соответственно: </w:t>
      </w:r>
      <w:r w:rsidR="00EC359C">
        <w:rPr>
          <w:rFonts w:ascii="Times New Roman" w:hAnsi="Times New Roman"/>
          <w:sz w:val="24"/>
          <w:szCs w:val="24"/>
        </w:rPr>
        <w:t>6</w:t>
      </w:r>
      <w:r w:rsidR="0079609C" w:rsidRPr="00DB4762">
        <w:rPr>
          <w:rFonts w:ascii="Times New Roman" w:hAnsi="Times New Roman"/>
          <w:sz w:val="24"/>
          <w:szCs w:val="24"/>
        </w:rPr>
        <w:t>,</w:t>
      </w:r>
      <w:r w:rsidR="00EC359C">
        <w:rPr>
          <w:rFonts w:ascii="Times New Roman" w:hAnsi="Times New Roman"/>
          <w:sz w:val="24"/>
          <w:szCs w:val="24"/>
        </w:rPr>
        <w:t>2</w:t>
      </w:r>
      <w:r w:rsidR="0079609C" w:rsidRPr="00DB4762">
        <w:rPr>
          <w:rFonts w:ascii="Times New Roman" w:hAnsi="Times New Roman"/>
          <w:sz w:val="24"/>
          <w:szCs w:val="24"/>
        </w:rPr>
        <w:t>% и 1</w:t>
      </w:r>
      <w:r w:rsidR="00EC359C">
        <w:rPr>
          <w:rFonts w:ascii="Times New Roman" w:hAnsi="Times New Roman"/>
          <w:sz w:val="24"/>
          <w:szCs w:val="24"/>
        </w:rPr>
        <w:t>1</w:t>
      </w:r>
      <w:r w:rsidR="0079609C" w:rsidRPr="00DB4762">
        <w:rPr>
          <w:rFonts w:ascii="Times New Roman" w:hAnsi="Times New Roman"/>
          <w:sz w:val="24"/>
          <w:szCs w:val="24"/>
        </w:rPr>
        <w:t>,</w:t>
      </w:r>
      <w:r w:rsidR="00EC359C">
        <w:rPr>
          <w:rFonts w:ascii="Times New Roman" w:hAnsi="Times New Roman"/>
          <w:sz w:val="24"/>
          <w:szCs w:val="24"/>
        </w:rPr>
        <w:t>1</w:t>
      </w:r>
      <w:r w:rsidR="0079609C" w:rsidRPr="00DB4762">
        <w:rPr>
          <w:rFonts w:ascii="Times New Roman" w:hAnsi="Times New Roman"/>
          <w:sz w:val="24"/>
          <w:szCs w:val="24"/>
        </w:rPr>
        <w:t>%; со сколиозом соответственно</w:t>
      </w:r>
      <w:r w:rsidR="00EC359C">
        <w:rPr>
          <w:rFonts w:ascii="Times New Roman" w:hAnsi="Times New Roman"/>
          <w:sz w:val="24"/>
          <w:szCs w:val="24"/>
        </w:rPr>
        <w:t xml:space="preserve"> 0</w:t>
      </w:r>
      <w:r w:rsidR="0079609C" w:rsidRPr="00DB4762">
        <w:rPr>
          <w:rFonts w:ascii="Times New Roman" w:hAnsi="Times New Roman"/>
          <w:sz w:val="24"/>
          <w:szCs w:val="24"/>
        </w:rPr>
        <w:t>,</w:t>
      </w:r>
      <w:r w:rsidR="00EC359C">
        <w:rPr>
          <w:rFonts w:ascii="Times New Roman" w:hAnsi="Times New Roman"/>
          <w:sz w:val="24"/>
          <w:szCs w:val="24"/>
        </w:rPr>
        <w:t>8% и 2,5</w:t>
      </w:r>
      <w:r w:rsidR="0079609C" w:rsidRPr="00DB4762">
        <w:rPr>
          <w:rFonts w:ascii="Times New Roman" w:hAnsi="Times New Roman"/>
          <w:sz w:val="24"/>
          <w:szCs w:val="24"/>
        </w:rPr>
        <w:t xml:space="preserve">%.  </w:t>
      </w:r>
      <w:r w:rsidR="00EC359C">
        <w:rPr>
          <w:rFonts w:ascii="Times New Roman" w:hAnsi="Times New Roman"/>
          <w:sz w:val="24"/>
          <w:szCs w:val="24"/>
        </w:rPr>
        <w:t>Необходимо отметить, что удельный вес детей с выявленным сколиозом за 3 года снизился во всех возрастных категориям.</w:t>
      </w:r>
      <w:proofErr w:type="gramEnd"/>
      <w:r w:rsidR="00EC359C">
        <w:rPr>
          <w:rFonts w:ascii="Times New Roman" w:hAnsi="Times New Roman"/>
          <w:sz w:val="24"/>
          <w:szCs w:val="24"/>
        </w:rPr>
        <w:t xml:space="preserve"> </w:t>
      </w:r>
      <w:r w:rsidR="00324F59">
        <w:rPr>
          <w:rFonts w:ascii="Times New Roman" w:hAnsi="Times New Roman"/>
          <w:sz w:val="24"/>
          <w:szCs w:val="24"/>
        </w:rPr>
        <w:t>В то же время процент выявленных нарушений осанки и понижения зрения у детей в целом увеличился.</w:t>
      </w:r>
    </w:p>
    <w:p w:rsidR="00DB4762" w:rsidRPr="00DB4762" w:rsidRDefault="0079609C" w:rsidP="00C9459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1EFF">
        <w:rPr>
          <w:rFonts w:ascii="Times New Roman" w:hAnsi="Times New Roman"/>
          <w:sz w:val="24"/>
          <w:szCs w:val="24"/>
        </w:rPr>
        <w:t>Основным правилом сохранения здоровья ребенка</w:t>
      </w:r>
      <w:r w:rsidR="005F62C1" w:rsidRPr="006B1EFF">
        <w:rPr>
          <w:rFonts w:ascii="Times New Roman" w:hAnsi="Times New Roman"/>
          <w:sz w:val="24"/>
          <w:szCs w:val="24"/>
        </w:rPr>
        <w:t xml:space="preserve"> и профилактика так называемых «школьных» болезней</w:t>
      </w:r>
      <w:r w:rsidRPr="006B1EFF">
        <w:rPr>
          <w:rFonts w:ascii="Times New Roman" w:hAnsi="Times New Roman"/>
          <w:sz w:val="24"/>
          <w:szCs w:val="24"/>
        </w:rPr>
        <w:t xml:space="preserve"> является соблюдение</w:t>
      </w:r>
      <w:r w:rsidRPr="00DB4762">
        <w:rPr>
          <w:rFonts w:ascii="Times New Roman" w:hAnsi="Times New Roman"/>
          <w:sz w:val="24"/>
          <w:szCs w:val="24"/>
        </w:rPr>
        <w:t xml:space="preserve"> правильного режима дня (время сна, бодрствования, питания), достаточная ежедневная двигательная активность, включающая прогулки, занятия физическими упражнениями, спортом. </w:t>
      </w:r>
      <w:r w:rsidR="00DB4762" w:rsidRPr="00DB4762">
        <w:rPr>
          <w:rFonts w:ascii="Times New Roman" w:hAnsi="Times New Roman"/>
          <w:sz w:val="24"/>
          <w:szCs w:val="24"/>
        </w:rPr>
        <w:t>Утренняя гимнастика является одним из важнейших компонентов двигательного режима детей</w:t>
      </w:r>
      <w:r w:rsidR="006B1EFF">
        <w:rPr>
          <w:rFonts w:ascii="Times New Roman" w:hAnsi="Times New Roman"/>
          <w:sz w:val="24"/>
          <w:szCs w:val="24"/>
        </w:rPr>
        <w:t>.</w:t>
      </w:r>
      <w:r w:rsidR="00DB4762" w:rsidRPr="00DB4762">
        <w:rPr>
          <w:rFonts w:ascii="Times New Roman" w:hAnsi="Times New Roman"/>
          <w:sz w:val="24"/>
          <w:szCs w:val="24"/>
        </w:rPr>
        <w:t xml:space="preserve"> Для контроля за правильной, равномерной нагрузкой на позвоночник необходим также правильный подбор мебели и организация рабочего места.</w:t>
      </w:r>
      <w:r w:rsidR="00DB4762" w:rsidRPr="00DB4762">
        <w:rPr>
          <w:sz w:val="24"/>
          <w:szCs w:val="24"/>
        </w:rPr>
        <w:t xml:space="preserve"> </w:t>
      </w:r>
      <w:r w:rsidR="00DB4762" w:rsidRPr="00DB4762">
        <w:rPr>
          <w:rFonts w:ascii="Times New Roman" w:hAnsi="Times New Roman"/>
          <w:sz w:val="24"/>
          <w:szCs w:val="24"/>
        </w:rPr>
        <w:t xml:space="preserve">Профилактика нарушений осанки включает в себя правильную позу с прямой спиной во время письма и чтения, причем следить за позой необходимо не только в школе, но и дома в процессе выполнения домашних заданий и во время принятия пищи. </w:t>
      </w:r>
    </w:p>
    <w:p w:rsidR="00DB4762" w:rsidRPr="00DB4762" w:rsidRDefault="00DB4762" w:rsidP="00C9459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762">
        <w:rPr>
          <w:rFonts w:ascii="Times New Roman" w:hAnsi="Times New Roman"/>
          <w:sz w:val="24"/>
          <w:szCs w:val="24"/>
        </w:rPr>
        <w:t>Для предупреждения снижения остроты зрения необходимо регулирование частоты и длительности просмотра телепередач и нахождения за компьютером. Важное место в охране зрения детей имеет организация достаточного и правильно расположенного источника освещения рабочего места, всего помещения, где идут занятия и подготовка уроков. Однотипные занятия, связанные с напряжением зрения, не должны быть длительными. В домашних условиях в случае продолжения однообразных занятий родители должны прерывать их каждые 10—15 минут для отдыха.</w:t>
      </w:r>
    </w:p>
    <w:p w:rsidR="00DB4762" w:rsidRPr="00DB4762" w:rsidRDefault="00DB4762" w:rsidP="00C9459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762">
        <w:rPr>
          <w:rFonts w:ascii="Times New Roman" w:hAnsi="Times New Roman"/>
          <w:sz w:val="24"/>
          <w:szCs w:val="24"/>
        </w:rPr>
        <w:t xml:space="preserve">Регулярные профилактические осмотры, внимательное отношение к ребенку помогут вовремя распознать начинающиеся </w:t>
      </w:r>
      <w:proofErr w:type="gramStart"/>
      <w:r w:rsidRPr="00DB4762">
        <w:rPr>
          <w:rFonts w:ascii="Times New Roman" w:hAnsi="Times New Roman"/>
          <w:sz w:val="24"/>
          <w:szCs w:val="24"/>
        </w:rPr>
        <w:t>проблемы</w:t>
      </w:r>
      <w:proofErr w:type="gramEnd"/>
      <w:r w:rsidRPr="00DB4762">
        <w:rPr>
          <w:rFonts w:ascii="Times New Roman" w:hAnsi="Times New Roman"/>
          <w:sz w:val="24"/>
          <w:szCs w:val="24"/>
        </w:rPr>
        <w:t xml:space="preserve"> как с осанкой, так и со зрением. Даже если первые осмотры не показали никаких отклонений от нормы – это не повод пропускать последующие осмотры. </w:t>
      </w:r>
    </w:p>
    <w:p w:rsidR="00DB4762" w:rsidRPr="00DB4762" w:rsidRDefault="00DB4762" w:rsidP="00C945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4762">
        <w:rPr>
          <w:rFonts w:ascii="Times New Roman" w:hAnsi="Times New Roman"/>
          <w:sz w:val="24"/>
          <w:szCs w:val="24"/>
        </w:rPr>
        <w:t xml:space="preserve">                Таким образом, совместные усилия врачей, родителей, учителей по привитию ребенку навыков здорового, активного образа жизни смогут снизить процент детей с выявленной сниженной остротой зрения и неправильной осанкой.</w:t>
      </w:r>
    </w:p>
    <w:p w:rsidR="0079609C" w:rsidRPr="00DB4762" w:rsidRDefault="0079609C" w:rsidP="00C945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9609C" w:rsidRPr="00DB4762" w:rsidSect="00DA2A4A">
      <w:headerReference w:type="default" r:id="rId11"/>
      <w:footerReference w:type="default" r:id="rId12"/>
      <w:pgSz w:w="11906" w:h="16838"/>
      <w:pgMar w:top="142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8E" w:rsidRDefault="00F94C8E" w:rsidP="00C94598">
      <w:pPr>
        <w:spacing w:after="0" w:line="240" w:lineRule="auto"/>
      </w:pPr>
      <w:r>
        <w:separator/>
      </w:r>
    </w:p>
  </w:endnote>
  <w:endnote w:type="continuationSeparator" w:id="0">
    <w:p w:rsidR="00F94C8E" w:rsidRDefault="00F94C8E" w:rsidP="00C9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0688"/>
      <w:docPartObj>
        <w:docPartGallery w:val="Page Numbers (Bottom of Page)"/>
        <w:docPartUnique/>
      </w:docPartObj>
    </w:sdtPr>
    <w:sdtContent>
      <w:p w:rsidR="00C94598" w:rsidRDefault="00887D6C">
        <w:pPr>
          <w:pStyle w:val="a7"/>
          <w:jc w:val="center"/>
        </w:pPr>
        <w:fldSimple w:instr=" PAGE   \* MERGEFORMAT ">
          <w:r w:rsidR="006B1EFF">
            <w:rPr>
              <w:noProof/>
            </w:rPr>
            <w:t>1</w:t>
          </w:r>
        </w:fldSimple>
      </w:p>
    </w:sdtContent>
  </w:sdt>
  <w:p w:rsidR="00C94598" w:rsidRDefault="00C945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8E" w:rsidRDefault="00F94C8E" w:rsidP="00C94598">
      <w:pPr>
        <w:spacing w:after="0" w:line="240" w:lineRule="auto"/>
      </w:pPr>
      <w:r>
        <w:separator/>
      </w:r>
    </w:p>
  </w:footnote>
  <w:footnote w:type="continuationSeparator" w:id="0">
    <w:p w:rsidR="00F94C8E" w:rsidRDefault="00F94C8E" w:rsidP="00C9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0685"/>
      <w:docPartObj>
        <w:docPartGallery w:val="Page Numbers (Top of Page)"/>
        <w:docPartUnique/>
      </w:docPartObj>
    </w:sdtPr>
    <w:sdtContent>
      <w:p w:rsidR="00C94598" w:rsidRDefault="00C94598">
        <w:pPr>
          <w:pStyle w:val="a5"/>
          <w:jc w:val="right"/>
        </w:pPr>
      </w:p>
      <w:p w:rsidR="00C94598" w:rsidRDefault="00DA2A4A" w:rsidP="00DA2A4A">
        <w:pPr>
          <w:pStyle w:val="a5"/>
          <w:tabs>
            <w:tab w:val="clear" w:pos="9355"/>
            <w:tab w:val="left" w:pos="1305"/>
            <w:tab w:val="right" w:pos="935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C94598" w:rsidRDefault="00C945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3A7B"/>
    <w:multiLevelType w:val="multilevel"/>
    <w:tmpl w:val="8F5C2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09C"/>
    <w:rsid w:val="00000930"/>
    <w:rsid w:val="00002CD3"/>
    <w:rsid w:val="00002D5C"/>
    <w:rsid w:val="000030E5"/>
    <w:rsid w:val="000042EF"/>
    <w:rsid w:val="000048B6"/>
    <w:rsid w:val="0000740E"/>
    <w:rsid w:val="00007A60"/>
    <w:rsid w:val="00007B56"/>
    <w:rsid w:val="000107FB"/>
    <w:rsid w:val="00012EBD"/>
    <w:rsid w:val="000144AE"/>
    <w:rsid w:val="00015ADF"/>
    <w:rsid w:val="000160DF"/>
    <w:rsid w:val="00016157"/>
    <w:rsid w:val="000172AA"/>
    <w:rsid w:val="00026000"/>
    <w:rsid w:val="0002635E"/>
    <w:rsid w:val="00027943"/>
    <w:rsid w:val="00027E0D"/>
    <w:rsid w:val="00030B34"/>
    <w:rsid w:val="00030B6F"/>
    <w:rsid w:val="000322B8"/>
    <w:rsid w:val="0003395A"/>
    <w:rsid w:val="00033E46"/>
    <w:rsid w:val="00035680"/>
    <w:rsid w:val="0003644D"/>
    <w:rsid w:val="00036B9E"/>
    <w:rsid w:val="00036D9F"/>
    <w:rsid w:val="000418E7"/>
    <w:rsid w:val="000427C5"/>
    <w:rsid w:val="00042E07"/>
    <w:rsid w:val="00044841"/>
    <w:rsid w:val="000450CD"/>
    <w:rsid w:val="00046BCC"/>
    <w:rsid w:val="00046D1D"/>
    <w:rsid w:val="0005047A"/>
    <w:rsid w:val="00050949"/>
    <w:rsid w:val="00051966"/>
    <w:rsid w:val="00052B29"/>
    <w:rsid w:val="00054C22"/>
    <w:rsid w:val="00054F29"/>
    <w:rsid w:val="00054F88"/>
    <w:rsid w:val="00060507"/>
    <w:rsid w:val="00060EBC"/>
    <w:rsid w:val="00061458"/>
    <w:rsid w:val="00061EBC"/>
    <w:rsid w:val="000625D6"/>
    <w:rsid w:val="0006346F"/>
    <w:rsid w:val="000638AE"/>
    <w:rsid w:val="000651DD"/>
    <w:rsid w:val="00065703"/>
    <w:rsid w:val="0007028F"/>
    <w:rsid w:val="00070FB8"/>
    <w:rsid w:val="000730C3"/>
    <w:rsid w:val="00073AA4"/>
    <w:rsid w:val="00074B75"/>
    <w:rsid w:val="00075037"/>
    <w:rsid w:val="00081388"/>
    <w:rsid w:val="000853F6"/>
    <w:rsid w:val="0008621F"/>
    <w:rsid w:val="000874E5"/>
    <w:rsid w:val="00092B34"/>
    <w:rsid w:val="0009334F"/>
    <w:rsid w:val="000958D4"/>
    <w:rsid w:val="00095EC4"/>
    <w:rsid w:val="000972AE"/>
    <w:rsid w:val="000A0122"/>
    <w:rsid w:val="000A5799"/>
    <w:rsid w:val="000A5BB4"/>
    <w:rsid w:val="000A5CC6"/>
    <w:rsid w:val="000A6111"/>
    <w:rsid w:val="000A69F4"/>
    <w:rsid w:val="000A6EDF"/>
    <w:rsid w:val="000A7677"/>
    <w:rsid w:val="000A7D1D"/>
    <w:rsid w:val="000A7E40"/>
    <w:rsid w:val="000A7FAF"/>
    <w:rsid w:val="000B17F8"/>
    <w:rsid w:val="000B2616"/>
    <w:rsid w:val="000B2C0C"/>
    <w:rsid w:val="000B3927"/>
    <w:rsid w:val="000B4EB4"/>
    <w:rsid w:val="000B5373"/>
    <w:rsid w:val="000B6D43"/>
    <w:rsid w:val="000B705D"/>
    <w:rsid w:val="000C075A"/>
    <w:rsid w:val="000C0BDA"/>
    <w:rsid w:val="000C31D7"/>
    <w:rsid w:val="000C42BD"/>
    <w:rsid w:val="000C45FF"/>
    <w:rsid w:val="000C4CBF"/>
    <w:rsid w:val="000C4CEB"/>
    <w:rsid w:val="000C5085"/>
    <w:rsid w:val="000C5090"/>
    <w:rsid w:val="000D0759"/>
    <w:rsid w:val="000D076B"/>
    <w:rsid w:val="000D10F8"/>
    <w:rsid w:val="000D13C0"/>
    <w:rsid w:val="000D1705"/>
    <w:rsid w:val="000D1BD6"/>
    <w:rsid w:val="000D3ACB"/>
    <w:rsid w:val="000D4944"/>
    <w:rsid w:val="000D6385"/>
    <w:rsid w:val="000D6AB6"/>
    <w:rsid w:val="000D7E89"/>
    <w:rsid w:val="000D7F96"/>
    <w:rsid w:val="000E0070"/>
    <w:rsid w:val="000E10AF"/>
    <w:rsid w:val="000E1DFF"/>
    <w:rsid w:val="000E39A2"/>
    <w:rsid w:val="000E4A4D"/>
    <w:rsid w:val="000E5DAF"/>
    <w:rsid w:val="000E6FF3"/>
    <w:rsid w:val="000E7B4B"/>
    <w:rsid w:val="000E7EAD"/>
    <w:rsid w:val="000F078C"/>
    <w:rsid w:val="000F1F85"/>
    <w:rsid w:val="000F548A"/>
    <w:rsid w:val="000F5A26"/>
    <w:rsid w:val="000F5B44"/>
    <w:rsid w:val="000F7481"/>
    <w:rsid w:val="00100D32"/>
    <w:rsid w:val="00101086"/>
    <w:rsid w:val="00103DD8"/>
    <w:rsid w:val="001055A0"/>
    <w:rsid w:val="00105B69"/>
    <w:rsid w:val="001069D8"/>
    <w:rsid w:val="00110782"/>
    <w:rsid w:val="00110951"/>
    <w:rsid w:val="00111293"/>
    <w:rsid w:val="00111D96"/>
    <w:rsid w:val="001120F6"/>
    <w:rsid w:val="00112DDB"/>
    <w:rsid w:val="001133E8"/>
    <w:rsid w:val="001156C1"/>
    <w:rsid w:val="00115D1A"/>
    <w:rsid w:val="00115FA6"/>
    <w:rsid w:val="001165DE"/>
    <w:rsid w:val="00117225"/>
    <w:rsid w:val="0011727D"/>
    <w:rsid w:val="001209C1"/>
    <w:rsid w:val="001211A5"/>
    <w:rsid w:val="001219E9"/>
    <w:rsid w:val="00122C40"/>
    <w:rsid w:val="00122E60"/>
    <w:rsid w:val="001238D8"/>
    <w:rsid w:val="0012516D"/>
    <w:rsid w:val="00125A05"/>
    <w:rsid w:val="00125CBF"/>
    <w:rsid w:val="001267CC"/>
    <w:rsid w:val="00127008"/>
    <w:rsid w:val="00127B26"/>
    <w:rsid w:val="00130846"/>
    <w:rsid w:val="001328B8"/>
    <w:rsid w:val="00132EDC"/>
    <w:rsid w:val="001341F7"/>
    <w:rsid w:val="00134BB4"/>
    <w:rsid w:val="00136F47"/>
    <w:rsid w:val="0014014D"/>
    <w:rsid w:val="00141163"/>
    <w:rsid w:val="0014116B"/>
    <w:rsid w:val="00141700"/>
    <w:rsid w:val="00141A0C"/>
    <w:rsid w:val="0014280C"/>
    <w:rsid w:val="001440E4"/>
    <w:rsid w:val="001448AC"/>
    <w:rsid w:val="00144A25"/>
    <w:rsid w:val="0014654B"/>
    <w:rsid w:val="0014666F"/>
    <w:rsid w:val="001467E9"/>
    <w:rsid w:val="00150576"/>
    <w:rsid w:val="00150941"/>
    <w:rsid w:val="00150FF9"/>
    <w:rsid w:val="0015179C"/>
    <w:rsid w:val="0015456B"/>
    <w:rsid w:val="00154EF4"/>
    <w:rsid w:val="001560C1"/>
    <w:rsid w:val="00156206"/>
    <w:rsid w:val="00156851"/>
    <w:rsid w:val="00160D16"/>
    <w:rsid w:val="0016201E"/>
    <w:rsid w:val="00162885"/>
    <w:rsid w:val="00163D58"/>
    <w:rsid w:val="001642B7"/>
    <w:rsid w:val="00170000"/>
    <w:rsid w:val="001701B5"/>
    <w:rsid w:val="001712B2"/>
    <w:rsid w:val="00171D46"/>
    <w:rsid w:val="00172E14"/>
    <w:rsid w:val="00174A17"/>
    <w:rsid w:val="001761FF"/>
    <w:rsid w:val="00176C2A"/>
    <w:rsid w:val="00176E03"/>
    <w:rsid w:val="0018049E"/>
    <w:rsid w:val="00181393"/>
    <w:rsid w:val="00184417"/>
    <w:rsid w:val="00184DB6"/>
    <w:rsid w:val="00184E3C"/>
    <w:rsid w:val="00185754"/>
    <w:rsid w:val="0018605B"/>
    <w:rsid w:val="00186110"/>
    <w:rsid w:val="00186FC0"/>
    <w:rsid w:val="00190E29"/>
    <w:rsid w:val="00190FDD"/>
    <w:rsid w:val="00191795"/>
    <w:rsid w:val="001917FC"/>
    <w:rsid w:val="001938B5"/>
    <w:rsid w:val="00193FDA"/>
    <w:rsid w:val="0019475B"/>
    <w:rsid w:val="00194F05"/>
    <w:rsid w:val="0019502E"/>
    <w:rsid w:val="00195C85"/>
    <w:rsid w:val="00195E8C"/>
    <w:rsid w:val="00196CCD"/>
    <w:rsid w:val="001976E8"/>
    <w:rsid w:val="001979A9"/>
    <w:rsid w:val="00197C5A"/>
    <w:rsid w:val="001A0730"/>
    <w:rsid w:val="001A0C42"/>
    <w:rsid w:val="001A0DD3"/>
    <w:rsid w:val="001A2517"/>
    <w:rsid w:val="001A3595"/>
    <w:rsid w:val="001A4C8C"/>
    <w:rsid w:val="001A6134"/>
    <w:rsid w:val="001A61CF"/>
    <w:rsid w:val="001A6896"/>
    <w:rsid w:val="001A711D"/>
    <w:rsid w:val="001A7B57"/>
    <w:rsid w:val="001B128A"/>
    <w:rsid w:val="001B251A"/>
    <w:rsid w:val="001B301C"/>
    <w:rsid w:val="001B4710"/>
    <w:rsid w:val="001B4741"/>
    <w:rsid w:val="001B5909"/>
    <w:rsid w:val="001B70D2"/>
    <w:rsid w:val="001B7284"/>
    <w:rsid w:val="001B7E24"/>
    <w:rsid w:val="001C33DD"/>
    <w:rsid w:val="001C7462"/>
    <w:rsid w:val="001D0977"/>
    <w:rsid w:val="001D1640"/>
    <w:rsid w:val="001D1B73"/>
    <w:rsid w:val="001D4D2D"/>
    <w:rsid w:val="001D51AD"/>
    <w:rsid w:val="001D5266"/>
    <w:rsid w:val="001D5DF3"/>
    <w:rsid w:val="001D63A6"/>
    <w:rsid w:val="001E0B37"/>
    <w:rsid w:val="001E1613"/>
    <w:rsid w:val="001E27FD"/>
    <w:rsid w:val="001E2D6E"/>
    <w:rsid w:val="001E3C9F"/>
    <w:rsid w:val="001E472D"/>
    <w:rsid w:val="001E52DD"/>
    <w:rsid w:val="001E607D"/>
    <w:rsid w:val="001E66C9"/>
    <w:rsid w:val="001E6E5C"/>
    <w:rsid w:val="001F0169"/>
    <w:rsid w:val="001F0E35"/>
    <w:rsid w:val="001F148C"/>
    <w:rsid w:val="001F3856"/>
    <w:rsid w:val="001F3E19"/>
    <w:rsid w:val="001F4B27"/>
    <w:rsid w:val="001F57E9"/>
    <w:rsid w:val="00204076"/>
    <w:rsid w:val="00204956"/>
    <w:rsid w:val="00205176"/>
    <w:rsid w:val="00206AD1"/>
    <w:rsid w:val="00206DFD"/>
    <w:rsid w:val="002070F5"/>
    <w:rsid w:val="002074A3"/>
    <w:rsid w:val="002079CE"/>
    <w:rsid w:val="00207FA7"/>
    <w:rsid w:val="00210324"/>
    <w:rsid w:val="00212391"/>
    <w:rsid w:val="0021490D"/>
    <w:rsid w:val="00214B82"/>
    <w:rsid w:val="002156EE"/>
    <w:rsid w:val="00215F9B"/>
    <w:rsid w:val="0021631F"/>
    <w:rsid w:val="00221594"/>
    <w:rsid w:val="00223250"/>
    <w:rsid w:val="00224237"/>
    <w:rsid w:val="0022439C"/>
    <w:rsid w:val="002254D3"/>
    <w:rsid w:val="0022560C"/>
    <w:rsid w:val="00225FE4"/>
    <w:rsid w:val="00230919"/>
    <w:rsid w:val="00231726"/>
    <w:rsid w:val="00234A52"/>
    <w:rsid w:val="002351CD"/>
    <w:rsid w:val="0023605A"/>
    <w:rsid w:val="00236A6F"/>
    <w:rsid w:val="00237669"/>
    <w:rsid w:val="00240FB9"/>
    <w:rsid w:val="00244389"/>
    <w:rsid w:val="00244DA0"/>
    <w:rsid w:val="00246C5F"/>
    <w:rsid w:val="002475B8"/>
    <w:rsid w:val="00250B72"/>
    <w:rsid w:val="00251887"/>
    <w:rsid w:val="00251AA7"/>
    <w:rsid w:val="00252434"/>
    <w:rsid w:val="00252FFD"/>
    <w:rsid w:val="00253697"/>
    <w:rsid w:val="00254728"/>
    <w:rsid w:val="0025505C"/>
    <w:rsid w:val="002557E5"/>
    <w:rsid w:val="002561AE"/>
    <w:rsid w:val="002570A5"/>
    <w:rsid w:val="00263023"/>
    <w:rsid w:val="00263E7F"/>
    <w:rsid w:val="002645C1"/>
    <w:rsid w:val="002668CA"/>
    <w:rsid w:val="00266F90"/>
    <w:rsid w:val="0026710B"/>
    <w:rsid w:val="002702A5"/>
    <w:rsid w:val="0027202D"/>
    <w:rsid w:val="002744DD"/>
    <w:rsid w:val="0027462E"/>
    <w:rsid w:val="00275C4A"/>
    <w:rsid w:val="00275DE4"/>
    <w:rsid w:val="00276267"/>
    <w:rsid w:val="00276CF8"/>
    <w:rsid w:val="00277A45"/>
    <w:rsid w:val="00277BC5"/>
    <w:rsid w:val="00280B06"/>
    <w:rsid w:val="00280FA8"/>
    <w:rsid w:val="0028103A"/>
    <w:rsid w:val="002811B4"/>
    <w:rsid w:val="00281B3C"/>
    <w:rsid w:val="00282794"/>
    <w:rsid w:val="00282F55"/>
    <w:rsid w:val="002853E3"/>
    <w:rsid w:val="002902E2"/>
    <w:rsid w:val="00290E9F"/>
    <w:rsid w:val="00294BC0"/>
    <w:rsid w:val="0029529E"/>
    <w:rsid w:val="00296C4D"/>
    <w:rsid w:val="00297681"/>
    <w:rsid w:val="002A5767"/>
    <w:rsid w:val="002A59B2"/>
    <w:rsid w:val="002A5BDC"/>
    <w:rsid w:val="002A63AC"/>
    <w:rsid w:val="002A66ED"/>
    <w:rsid w:val="002A6CB9"/>
    <w:rsid w:val="002A751A"/>
    <w:rsid w:val="002A7548"/>
    <w:rsid w:val="002A78EA"/>
    <w:rsid w:val="002B0D16"/>
    <w:rsid w:val="002B0E65"/>
    <w:rsid w:val="002B0FCD"/>
    <w:rsid w:val="002B2032"/>
    <w:rsid w:val="002B2E3E"/>
    <w:rsid w:val="002B3035"/>
    <w:rsid w:val="002B4BA8"/>
    <w:rsid w:val="002C12B1"/>
    <w:rsid w:val="002C22A2"/>
    <w:rsid w:val="002C39AD"/>
    <w:rsid w:val="002C6C94"/>
    <w:rsid w:val="002D142E"/>
    <w:rsid w:val="002D1DB6"/>
    <w:rsid w:val="002D44F8"/>
    <w:rsid w:val="002E033E"/>
    <w:rsid w:val="002E0926"/>
    <w:rsid w:val="002E15A8"/>
    <w:rsid w:val="002E20F8"/>
    <w:rsid w:val="002E3679"/>
    <w:rsid w:val="002E3FCE"/>
    <w:rsid w:val="002E3FF3"/>
    <w:rsid w:val="002E4C09"/>
    <w:rsid w:val="002E4C5B"/>
    <w:rsid w:val="002E5A3B"/>
    <w:rsid w:val="002E5A73"/>
    <w:rsid w:val="002E5AED"/>
    <w:rsid w:val="002E6FDC"/>
    <w:rsid w:val="002E7A41"/>
    <w:rsid w:val="002F137E"/>
    <w:rsid w:val="002F3F26"/>
    <w:rsid w:val="002F464C"/>
    <w:rsid w:val="002F5334"/>
    <w:rsid w:val="002F5EE1"/>
    <w:rsid w:val="002F70C1"/>
    <w:rsid w:val="00300813"/>
    <w:rsid w:val="00300984"/>
    <w:rsid w:val="00300C67"/>
    <w:rsid w:val="00303763"/>
    <w:rsid w:val="00303884"/>
    <w:rsid w:val="00303C57"/>
    <w:rsid w:val="00305032"/>
    <w:rsid w:val="00305589"/>
    <w:rsid w:val="00305E62"/>
    <w:rsid w:val="0030622A"/>
    <w:rsid w:val="00306A32"/>
    <w:rsid w:val="00306C50"/>
    <w:rsid w:val="00307EA0"/>
    <w:rsid w:val="0031055C"/>
    <w:rsid w:val="00311A9E"/>
    <w:rsid w:val="00312874"/>
    <w:rsid w:val="00314479"/>
    <w:rsid w:val="003160B5"/>
    <w:rsid w:val="00316368"/>
    <w:rsid w:val="00316A60"/>
    <w:rsid w:val="00316F03"/>
    <w:rsid w:val="0031730E"/>
    <w:rsid w:val="00317568"/>
    <w:rsid w:val="00323645"/>
    <w:rsid w:val="003236AF"/>
    <w:rsid w:val="00323F89"/>
    <w:rsid w:val="00324F59"/>
    <w:rsid w:val="00325032"/>
    <w:rsid w:val="0032539B"/>
    <w:rsid w:val="00326ED3"/>
    <w:rsid w:val="0033317B"/>
    <w:rsid w:val="00334C17"/>
    <w:rsid w:val="003353B8"/>
    <w:rsid w:val="0033601C"/>
    <w:rsid w:val="003363FC"/>
    <w:rsid w:val="00336AAF"/>
    <w:rsid w:val="00336DC2"/>
    <w:rsid w:val="003375C1"/>
    <w:rsid w:val="00337991"/>
    <w:rsid w:val="0034070B"/>
    <w:rsid w:val="00340D00"/>
    <w:rsid w:val="00341967"/>
    <w:rsid w:val="003426AF"/>
    <w:rsid w:val="003431D7"/>
    <w:rsid w:val="003436E5"/>
    <w:rsid w:val="0034532C"/>
    <w:rsid w:val="00346EC1"/>
    <w:rsid w:val="00347A6E"/>
    <w:rsid w:val="00347AEF"/>
    <w:rsid w:val="00347E0F"/>
    <w:rsid w:val="0035137E"/>
    <w:rsid w:val="00352E56"/>
    <w:rsid w:val="00353252"/>
    <w:rsid w:val="00354289"/>
    <w:rsid w:val="003548C0"/>
    <w:rsid w:val="00354A2F"/>
    <w:rsid w:val="00357535"/>
    <w:rsid w:val="00360CFE"/>
    <w:rsid w:val="00361E9F"/>
    <w:rsid w:val="003633A4"/>
    <w:rsid w:val="00364676"/>
    <w:rsid w:val="00370BE8"/>
    <w:rsid w:val="00372B2F"/>
    <w:rsid w:val="00372C42"/>
    <w:rsid w:val="00372CE1"/>
    <w:rsid w:val="00372FCC"/>
    <w:rsid w:val="00375CFB"/>
    <w:rsid w:val="00375EDC"/>
    <w:rsid w:val="00376B95"/>
    <w:rsid w:val="00376DD0"/>
    <w:rsid w:val="00380DFE"/>
    <w:rsid w:val="0038182B"/>
    <w:rsid w:val="003821D5"/>
    <w:rsid w:val="003822EC"/>
    <w:rsid w:val="003823A4"/>
    <w:rsid w:val="00383887"/>
    <w:rsid w:val="003845BF"/>
    <w:rsid w:val="00384682"/>
    <w:rsid w:val="00384CFA"/>
    <w:rsid w:val="00385814"/>
    <w:rsid w:val="00385B25"/>
    <w:rsid w:val="00387FD6"/>
    <w:rsid w:val="00390E75"/>
    <w:rsid w:val="00393F36"/>
    <w:rsid w:val="003941FF"/>
    <w:rsid w:val="00394944"/>
    <w:rsid w:val="0039717C"/>
    <w:rsid w:val="003A0CEC"/>
    <w:rsid w:val="003A3621"/>
    <w:rsid w:val="003A7142"/>
    <w:rsid w:val="003A7176"/>
    <w:rsid w:val="003B02BF"/>
    <w:rsid w:val="003B0B75"/>
    <w:rsid w:val="003B1483"/>
    <w:rsid w:val="003B30A2"/>
    <w:rsid w:val="003B69EF"/>
    <w:rsid w:val="003B746F"/>
    <w:rsid w:val="003B7AAA"/>
    <w:rsid w:val="003C198C"/>
    <w:rsid w:val="003C2DC3"/>
    <w:rsid w:val="003C3053"/>
    <w:rsid w:val="003C3BDA"/>
    <w:rsid w:val="003C3C55"/>
    <w:rsid w:val="003C49BE"/>
    <w:rsid w:val="003C4A67"/>
    <w:rsid w:val="003C632B"/>
    <w:rsid w:val="003C7B4F"/>
    <w:rsid w:val="003D02D6"/>
    <w:rsid w:val="003D0CBF"/>
    <w:rsid w:val="003D115E"/>
    <w:rsid w:val="003D136E"/>
    <w:rsid w:val="003D2700"/>
    <w:rsid w:val="003D38E3"/>
    <w:rsid w:val="003D3A3E"/>
    <w:rsid w:val="003D51CA"/>
    <w:rsid w:val="003D65EA"/>
    <w:rsid w:val="003D66D4"/>
    <w:rsid w:val="003D6937"/>
    <w:rsid w:val="003D6BB3"/>
    <w:rsid w:val="003D6E89"/>
    <w:rsid w:val="003E0768"/>
    <w:rsid w:val="003E0A22"/>
    <w:rsid w:val="003E0CF3"/>
    <w:rsid w:val="003E1E8C"/>
    <w:rsid w:val="003E2AC5"/>
    <w:rsid w:val="003E3F74"/>
    <w:rsid w:val="003E43E2"/>
    <w:rsid w:val="003E46BE"/>
    <w:rsid w:val="003F216B"/>
    <w:rsid w:val="003F2A85"/>
    <w:rsid w:val="003F32E0"/>
    <w:rsid w:val="003F333D"/>
    <w:rsid w:val="003F3982"/>
    <w:rsid w:val="003F3C2D"/>
    <w:rsid w:val="003F4572"/>
    <w:rsid w:val="003F49A7"/>
    <w:rsid w:val="003F6030"/>
    <w:rsid w:val="003F63DF"/>
    <w:rsid w:val="004023C1"/>
    <w:rsid w:val="00402D94"/>
    <w:rsid w:val="004035AD"/>
    <w:rsid w:val="00403BC8"/>
    <w:rsid w:val="00404009"/>
    <w:rsid w:val="004046F1"/>
    <w:rsid w:val="004049E8"/>
    <w:rsid w:val="0040520B"/>
    <w:rsid w:val="00405913"/>
    <w:rsid w:val="0041096B"/>
    <w:rsid w:val="00410E06"/>
    <w:rsid w:val="004110D7"/>
    <w:rsid w:val="00412BBA"/>
    <w:rsid w:val="0041338D"/>
    <w:rsid w:val="004141F3"/>
    <w:rsid w:val="0041455E"/>
    <w:rsid w:val="00414F36"/>
    <w:rsid w:val="0041676D"/>
    <w:rsid w:val="004173C0"/>
    <w:rsid w:val="00420132"/>
    <w:rsid w:val="004222C1"/>
    <w:rsid w:val="00424A88"/>
    <w:rsid w:val="00424FB3"/>
    <w:rsid w:val="00425B8E"/>
    <w:rsid w:val="00425BE8"/>
    <w:rsid w:val="00426128"/>
    <w:rsid w:val="004269B2"/>
    <w:rsid w:val="00431BFC"/>
    <w:rsid w:val="00434240"/>
    <w:rsid w:val="0043500B"/>
    <w:rsid w:val="00441116"/>
    <w:rsid w:val="00443D62"/>
    <w:rsid w:val="004452A3"/>
    <w:rsid w:val="00445D12"/>
    <w:rsid w:val="00445D40"/>
    <w:rsid w:val="00446146"/>
    <w:rsid w:val="0045343B"/>
    <w:rsid w:val="00454043"/>
    <w:rsid w:val="004573F1"/>
    <w:rsid w:val="00457AD7"/>
    <w:rsid w:val="00463AEE"/>
    <w:rsid w:val="00464B22"/>
    <w:rsid w:val="004652BA"/>
    <w:rsid w:val="00465415"/>
    <w:rsid w:val="00467B1E"/>
    <w:rsid w:val="00467D76"/>
    <w:rsid w:val="0047141F"/>
    <w:rsid w:val="004717F9"/>
    <w:rsid w:val="0047191E"/>
    <w:rsid w:val="0047233E"/>
    <w:rsid w:val="004729E8"/>
    <w:rsid w:val="00473AF1"/>
    <w:rsid w:val="00473FB3"/>
    <w:rsid w:val="00475337"/>
    <w:rsid w:val="00480B42"/>
    <w:rsid w:val="004819CE"/>
    <w:rsid w:val="00482022"/>
    <w:rsid w:val="00484700"/>
    <w:rsid w:val="00485F59"/>
    <w:rsid w:val="00486CDE"/>
    <w:rsid w:val="00490037"/>
    <w:rsid w:val="00490C81"/>
    <w:rsid w:val="00490DE4"/>
    <w:rsid w:val="00490E44"/>
    <w:rsid w:val="00491032"/>
    <w:rsid w:val="00492A4B"/>
    <w:rsid w:val="00493028"/>
    <w:rsid w:val="00493DFA"/>
    <w:rsid w:val="00496147"/>
    <w:rsid w:val="004A0145"/>
    <w:rsid w:val="004A04A8"/>
    <w:rsid w:val="004A06DD"/>
    <w:rsid w:val="004A1FB0"/>
    <w:rsid w:val="004A2955"/>
    <w:rsid w:val="004A2A11"/>
    <w:rsid w:val="004A2A6A"/>
    <w:rsid w:val="004A77C0"/>
    <w:rsid w:val="004B0567"/>
    <w:rsid w:val="004B1950"/>
    <w:rsid w:val="004B2531"/>
    <w:rsid w:val="004B2B98"/>
    <w:rsid w:val="004B3765"/>
    <w:rsid w:val="004B5D54"/>
    <w:rsid w:val="004B7D9C"/>
    <w:rsid w:val="004C0E38"/>
    <w:rsid w:val="004C202C"/>
    <w:rsid w:val="004C2E78"/>
    <w:rsid w:val="004C3D03"/>
    <w:rsid w:val="004C40A1"/>
    <w:rsid w:val="004C536A"/>
    <w:rsid w:val="004C64FA"/>
    <w:rsid w:val="004C679E"/>
    <w:rsid w:val="004C6FBC"/>
    <w:rsid w:val="004D138D"/>
    <w:rsid w:val="004D244B"/>
    <w:rsid w:val="004D468D"/>
    <w:rsid w:val="004D6AFE"/>
    <w:rsid w:val="004D6C78"/>
    <w:rsid w:val="004D7C7F"/>
    <w:rsid w:val="004D7FCF"/>
    <w:rsid w:val="004E0620"/>
    <w:rsid w:val="004E0959"/>
    <w:rsid w:val="004E0F3C"/>
    <w:rsid w:val="004E2AEA"/>
    <w:rsid w:val="004E2EB0"/>
    <w:rsid w:val="004E3CFD"/>
    <w:rsid w:val="004E4272"/>
    <w:rsid w:val="004E4CB7"/>
    <w:rsid w:val="004E5FCA"/>
    <w:rsid w:val="004E6B31"/>
    <w:rsid w:val="004E70A0"/>
    <w:rsid w:val="004F06D1"/>
    <w:rsid w:val="004F0BDF"/>
    <w:rsid w:val="004F17AE"/>
    <w:rsid w:val="004F238E"/>
    <w:rsid w:val="004F2E1D"/>
    <w:rsid w:val="004F35BA"/>
    <w:rsid w:val="004F3EA2"/>
    <w:rsid w:val="004F4777"/>
    <w:rsid w:val="004F47D8"/>
    <w:rsid w:val="004F622E"/>
    <w:rsid w:val="004F78F1"/>
    <w:rsid w:val="004F7F77"/>
    <w:rsid w:val="0050074E"/>
    <w:rsid w:val="00502FF8"/>
    <w:rsid w:val="00503FE4"/>
    <w:rsid w:val="00504EC5"/>
    <w:rsid w:val="00505014"/>
    <w:rsid w:val="00505496"/>
    <w:rsid w:val="005054D6"/>
    <w:rsid w:val="00506F91"/>
    <w:rsid w:val="0051015B"/>
    <w:rsid w:val="00510168"/>
    <w:rsid w:val="005101ED"/>
    <w:rsid w:val="00514207"/>
    <w:rsid w:val="00514D9E"/>
    <w:rsid w:val="005158C7"/>
    <w:rsid w:val="005167B9"/>
    <w:rsid w:val="00521431"/>
    <w:rsid w:val="00522333"/>
    <w:rsid w:val="0052293B"/>
    <w:rsid w:val="00523071"/>
    <w:rsid w:val="00524B31"/>
    <w:rsid w:val="00525FA7"/>
    <w:rsid w:val="005266F9"/>
    <w:rsid w:val="00530ABF"/>
    <w:rsid w:val="00531466"/>
    <w:rsid w:val="00532047"/>
    <w:rsid w:val="005321E5"/>
    <w:rsid w:val="00532290"/>
    <w:rsid w:val="00532ADB"/>
    <w:rsid w:val="00534BE5"/>
    <w:rsid w:val="0053531B"/>
    <w:rsid w:val="00535BA8"/>
    <w:rsid w:val="00536EB8"/>
    <w:rsid w:val="00540C79"/>
    <w:rsid w:val="0054322E"/>
    <w:rsid w:val="00544186"/>
    <w:rsid w:val="00544305"/>
    <w:rsid w:val="00550301"/>
    <w:rsid w:val="005503FB"/>
    <w:rsid w:val="0055046E"/>
    <w:rsid w:val="00551414"/>
    <w:rsid w:val="005540E8"/>
    <w:rsid w:val="005544CD"/>
    <w:rsid w:val="00556866"/>
    <w:rsid w:val="00556D8F"/>
    <w:rsid w:val="00557B02"/>
    <w:rsid w:val="00560032"/>
    <w:rsid w:val="005605D6"/>
    <w:rsid w:val="00560898"/>
    <w:rsid w:val="00560C66"/>
    <w:rsid w:val="00563DD4"/>
    <w:rsid w:val="00564140"/>
    <w:rsid w:val="005651CD"/>
    <w:rsid w:val="00565468"/>
    <w:rsid w:val="00565A5C"/>
    <w:rsid w:val="00566417"/>
    <w:rsid w:val="00566EE9"/>
    <w:rsid w:val="00567570"/>
    <w:rsid w:val="00567574"/>
    <w:rsid w:val="00570157"/>
    <w:rsid w:val="00573736"/>
    <w:rsid w:val="00573E9D"/>
    <w:rsid w:val="005747F4"/>
    <w:rsid w:val="0057483E"/>
    <w:rsid w:val="00575925"/>
    <w:rsid w:val="00577CE0"/>
    <w:rsid w:val="0058253F"/>
    <w:rsid w:val="005830E9"/>
    <w:rsid w:val="00584AE0"/>
    <w:rsid w:val="005854AD"/>
    <w:rsid w:val="00586118"/>
    <w:rsid w:val="0058795B"/>
    <w:rsid w:val="00587C68"/>
    <w:rsid w:val="005925A2"/>
    <w:rsid w:val="00592A57"/>
    <w:rsid w:val="00594A7B"/>
    <w:rsid w:val="005950E6"/>
    <w:rsid w:val="0059516F"/>
    <w:rsid w:val="00596894"/>
    <w:rsid w:val="005A1BE7"/>
    <w:rsid w:val="005A3DD2"/>
    <w:rsid w:val="005A4E6E"/>
    <w:rsid w:val="005A54E9"/>
    <w:rsid w:val="005A5BEC"/>
    <w:rsid w:val="005A7F7B"/>
    <w:rsid w:val="005B2062"/>
    <w:rsid w:val="005B4443"/>
    <w:rsid w:val="005B5F6F"/>
    <w:rsid w:val="005B72FF"/>
    <w:rsid w:val="005B7B59"/>
    <w:rsid w:val="005B7BE5"/>
    <w:rsid w:val="005C0855"/>
    <w:rsid w:val="005C192A"/>
    <w:rsid w:val="005C4031"/>
    <w:rsid w:val="005C4C08"/>
    <w:rsid w:val="005C6DDE"/>
    <w:rsid w:val="005C7728"/>
    <w:rsid w:val="005D12BD"/>
    <w:rsid w:val="005D17F8"/>
    <w:rsid w:val="005D2490"/>
    <w:rsid w:val="005D2D20"/>
    <w:rsid w:val="005D30CE"/>
    <w:rsid w:val="005D32F5"/>
    <w:rsid w:val="005D3E51"/>
    <w:rsid w:val="005D755A"/>
    <w:rsid w:val="005D780F"/>
    <w:rsid w:val="005D79EC"/>
    <w:rsid w:val="005E0075"/>
    <w:rsid w:val="005E019F"/>
    <w:rsid w:val="005E0E00"/>
    <w:rsid w:val="005E216E"/>
    <w:rsid w:val="005E39B3"/>
    <w:rsid w:val="005E4CCD"/>
    <w:rsid w:val="005E5082"/>
    <w:rsid w:val="005E540F"/>
    <w:rsid w:val="005E55E1"/>
    <w:rsid w:val="005E5B9C"/>
    <w:rsid w:val="005E68DF"/>
    <w:rsid w:val="005E6BA0"/>
    <w:rsid w:val="005E6EF3"/>
    <w:rsid w:val="005E7314"/>
    <w:rsid w:val="005E7871"/>
    <w:rsid w:val="005F1787"/>
    <w:rsid w:val="005F1C60"/>
    <w:rsid w:val="005F1C87"/>
    <w:rsid w:val="005F1F0C"/>
    <w:rsid w:val="005F21B4"/>
    <w:rsid w:val="005F4F19"/>
    <w:rsid w:val="005F62C1"/>
    <w:rsid w:val="005F7733"/>
    <w:rsid w:val="00600C5B"/>
    <w:rsid w:val="00601CC7"/>
    <w:rsid w:val="00601D9E"/>
    <w:rsid w:val="006025C7"/>
    <w:rsid w:val="006027B0"/>
    <w:rsid w:val="00603A1A"/>
    <w:rsid w:val="00603A52"/>
    <w:rsid w:val="00603F33"/>
    <w:rsid w:val="00604FBE"/>
    <w:rsid w:val="00605AF2"/>
    <w:rsid w:val="00607323"/>
    <w:rsid w:val="006074B1"/>
    <w:rsid w:val="0060783C"/>
    <w:rsid w:val="006105D9"/>
    <w:rsid w:val="00611EB9"/>
    <w:rsid w:val="0061258E"/>
    <w:rsid w:val="0061260F"/>
    <w:rsid w:val="006135E0"/>
    <w:rsid w:val="0061465F"/>
    <w:rsid w:val="006162DD"/>
    <w:rsid w:val="0061681B"/>
    <w:rsid w:val="00617BFC"/>
    <w:rsid w:val="00617CA6"/>
    <w:rsid w:val="006209D8"/>
    <w:rsid w:val="00621621"/>
    <w:rsid w:val="006242C2"/>
    <w:rsid w:val="00624EE8"/>
    <w:rsid w:val="00625BC4"/>
    <w:rsid w:val="00630B8C"/>
    <w:rsid w:val="00632683"/>
    <w:rsid w:val="006338A9"/>
    <w:rsid w:val="00634FA9"/>
    <w:rsid w:val="00635CBE"/>
    <w:rsid w:val="00636393"/>
    <w:rsid w:val="006365DE"/>
    <w:rsid w:val="0063678F"/>
    <w:rsid w:val="00636CA1"/>
    <w:rsid w:val="00637585"/>
    <w:rsid w:val="00637593"/>
    <w:rsid w:val="00640766"/>
    <w:rsid w:val="00640D6A"/>
    <w:rsid w:val="0064325E"/>
    <w:rsid w:val="006456AB"/>
    <w:rsid w:val="006477BF"/>
    <w:rsid w:val="00647DC8"/>
    <w:rsid w:val="00651DA5"/>
    <w:rsid w:val="00652E15"/>
    <w:rsid w:val="00654E4C"/>
    <w:rsid w:val="0066103F"/>
    <w:rsid w:val="00661553"/>
    <w:rsid w:val="00663198"/>
    <w:rsid w:val="006658C8"/>
    <w:rsid w:val="006671B7"/>
    <w:rsid w:val="006702C9"/>
    <w:rsid w:val="00672B08"/>
    <w:rsid w:val="00674B18"/>
    <w:rsid w:val="00675A0C"/>
    <w:rsid w:val="00676D3E"/>
    <w:rsid w:val="00677BF1"/>
    <w:rsid w:val="006840D6"/>
    <w:rsid w:val="006862A9"/>
    <w:rsid w:val="00686C20"/>
    <w:rsid w:val="0068758A"/>
    <w:rsid w:val="0068799A"/>
    <w:rsid w:val="00690DD8"/>
    <w:rsid w:val="006913A8"/>
    <w:rsid w:val="00692A6F"/>
    <w:rsid w:val="00692E18"/>
    <w:rsid w:val="006947BE"/>
    <w:rsid w:val="006954A9"/>
    <w:rsid w:val="00695E38"/>
    <w:rsid w:val="00697FBE"/>
    <w:rsid w:val="006A0077"/>
    <w:rsid w:val="006A08F0"/>
    <w:rsid w:val="006A14A4"/>
    <w:rsid w:val="006A2153"/>
    <w:rsid w:val="006A22D9"/>
    <w:rsid w:val="006A448D"/>
    <w:rsid w:val="006A4A1D"/>
    <w:rsid w:val="006A5427"/>
    <w:rsid w:val="006A72A1"/>
    <w:rsid w:val="006A7A41"/>
    <w:rsid w:val="006B0E49"/>
    <w:rsid w:val="006B1EFF"/>
    <w:rsid w:val="006B3571"/>
    <w:rsid w:val="006B4CB6"/>
    <w:rsid w:val="006B4F5F"/>
    <w:rsid w:val="006C156F"/>
    <w:rsid w:val="006C1E7B"/>
    <w:rsid w:val="006C2B07"/>
    <w:rsid w:val="006C43D6"/>
    <w:rsid w:val="006C6E91"/>
    <w:rsid w:val="006D262E"/>
    <w:rsid w:val="006D2AC4"/>
    <w:rsid w:val="006D2E06"/>
    <w:rsid w:val="006D3927"/>
    <w:rsid w:val="006D3E02"/>
    <w:rsid w:val="006D60A5"/>
    <w:rsid w:val="006D7107"/>
    <w:rsid w:val="006D731A"/>
    <w:rsid w:val="006E172D"/>
    <w:rsid w:val="006E2C38"/>
    <w:rsid w:val="006E719C"/>
    <w:rsid w:val="006E7F86"/>
    <w:rsid w:val="006F004E"/>
    <w:rsid w:val="006F01EF"/>
    <w:rsid w:val="006F13A0"/>
    <w:rsid w:val="006F199D"/>
    <w:rsid w:val="006F1A1E"/>
    <w:rsid w:val="006F2648"/>
    <w:rsid w:val="006F268D"/>
    <w:rsid w:val="006F2875"/>
    <w:rsid w:val="006F4C5A"/>
    <w:rsid w:val="006F7877"/>
    <w:rsid w:val="00700B56"/>
    <w:rsid w:val="007017D5"/>
    <w:rsid w:val="00701958"/>
    <w:rsid w:val="00703625"/>
    <w:rsid w:val="00705EF7"/>
    <w:rsid w:val="0070732B"/>
    <w:rsid w:val="00710055"/>
    <w:rsid w:val="00710953"/>
    <w:rsid w:val="0071662F"/>
    <w:rsid w:val="00716BD5"/>
    <w:rsid w:val="00716F6E"/>
    <w:rsid w:val="0071781A"/>
    <w:rsid w:val="00720235"/>
    <w:rsid w:val="007220F8"/>
    <w:rsid w:val="00722AC2"/>
    <w:rsid w:val="00722E79"/>
    <w:rsid w:val="007240B0"/>
    <w:rsid w:val="007241EB"/>
    <w:rsid w:val="0072445A"/>
    <w:rsid w:val="00724938"/>
    <w:rsid w:val="00724B0B"/>
    <w:rsid w:val="00725CDD"/>
    <w:rsid w:val="00727944"/>
    <w:rsid w:val="0073061C"/>
    <w:rsid w:val="007328DE"/>
    <w:rsid w:val="00732F84"/>
    <w:rsid w:val="0073613D"/>
    <w:rsid w:val="00737B52"/>
    <w:rsid w:val="00737B66"/>
    <w:rsid w:val="00742DFB"/>
    <w:rsid w:val="007438DF"/>
    <w:rsid w:val="00743C26"/>
    <w:rsid w:val="007451F6"/>
    <w:rsid w:val="007466F9"/>
    <w:rsid w:val="007519B3"/>
    <w:rsid w:val="0075217E"/>
    <w:rsid w:val="00752DA1"/>
    <w:rsid w:val="0075366B"/>
    <w:rsid w:val="00753AA7"/>
    <w:rsid w:val="00754BCB"/>
    <w:rsid w:val="00754FD8"/>
    <w:rsid w:val="00755782"/>
    <w:rsid w:val="00755988"/>
    <w:rsid w:val="00755E30"/>
    <w:rsid w:val="007569EF"/>
    <w:rsid w:val="0075713F"/>
    <w:rsid w:val="007604CC"/>
    <w:rsid w:val="0076122B"/>
    <w:rsid w:val="007657E6"/>
    <w:rsid w:val="00766F5E"/>
    <w:rsid w:val="00767B1B"/>
    <w:rsid w:val="00770E15"/>
    <w:rsid w:val="007725A4"/>
    <w:rsid w:val="007726DE"/>
    <w:rsid w:val="00777EC8"/>
    <w:rsid w:val="00781A05"/>
    <w:rsid w:val="00781ED0"/>
    <w:rsid w:val="00782787"/>
    <w:rsid w:val="007832A3"/>
    <w:rsid w:val="00783862"/>
    <w:rsid w:val="007860FC"/>
    <w:rsid w:val="0078707D"/>
    <w:rsid w:val="00787D6F"/>
    <w:rsid w:val="007926C7"/>
    <w:rsid w:val="00792739"/>
    <w:rsid w:val="0079402E"/>
    <w:rsid w:val="007943BE"/>
    <w:rsid w:val="00794408"/>
    <w:rsid w:val="0079515A"/>
    <w:rsid w:val="0079609C"/>
    <w:rsid w:val="007A22FA"/>
    <w:rsid w:val="007A2872"/>
    <w:rsid w:val="007A3B21"/>
    <w:rsid w:val="007A4738"/>
    <w:rsid w:val="007A4C8C"/>
    <w:rsid w:val="007A55ED"/>
    <w:rsid w:val="007A6B4A"/>
    <w:rsid w:val="007A7F17"/>
    <w:rsid w:val="007B15D1"/>
    <w:rsid w:val="007B1FBC"/>
    <w:rsid w:val="007B3599"/>
    <w:rsid w:val="007B56CA"/>
    <w:rsid w:val="007B61F9"/>
    <w:rsid w:val="007C1588"/>
    <w:rsid w:val="007C2927"/>
    <w:rsid w:val="007C2961"/>
    <w:rsid w:val="007C334A"/>
    <w:rsid w:val="007C438B"/>
    <w:rsid w:val="007C442F"/>
    <w:rsid w:val="007C57FA"/>
    <w:rsid w:val="007D0FB7"/>
    <w:rsid w:val="007D154C"/>
    <w:rsid w:val="007D1BA8"/>
    <w:rsid w:val="007D2C90"/>
    <w:rsid w:val="007D38AD"/>
    <w:rsid w:val="007D4287"/>
    <w:rsid w:val="007D45F0"/>
    <w:rsid w:val="007D6CAE"/>
    <w:rsid w:val="007D79A5"/>
    <w:rsid w:val="007E166B"/>
    <w:rsid w:val="007E2202"/>
    <w:rsid w:val="007E3344"/>
    <w:rsid w:val="007E38A5"/>
    <w:rsid w:val="007E3F40"/>
    <w:rsid w:val="007E40C4"/>
    <w:rsid w:val="007E40DD"/>
    <w:rsid w:val="007E504B"/>
    <w:rsid w:val="007E583A"/>
    <w:rsid w:val="007E60B1"/>
    <w:rsid w:val="007E76C2"/>
    <w:rsid w:val="007E79C2"/>
    <w:rsid w:val="007F09A1"/>
    <w:rsid w:val="007F0FA8"/>
    <w:rsid w:val="007F2C51"/>
    <w:rsid w:val="007F2C88"/>
    <w:rsid w:val="007F33BA"/>
    <w:rsid w:val="007F3D08"/>
    <w:rsid w:val="007F428F"/>
    <w:rsid w:val="007F5259"/>
    <w:rsid w:val="00800121"/>
    <w:rsid w:val="00801A94"/>
    <w:rsid w:val="00802423"/>
    <w:rsid w:val="00805075"/>
    <w:rsid w:val="00812405"/>
    <w:rsid w:val="00812A40"/>
    <w:rsid w:val="00812D49"/>
    <w:rsid w:val="008130AF"/>
    <w:rsid w:val="00814A93"/>
    <w:rsid w:val="00817991"/>
    <w:rsid w:val="0082052D"/>
    <w:rsid w:val="008229A8"/>
    <w:rsid w:val="00825601"/>
    <w:rsid w:val="00825B78"/>
    <w:rsid w:val="008328C1"/>
    <w:rsid w:val="00832931"/>
    <w:rsid w:val="00834D1B"/>
    <w:rsid w:val="008367C6"/>
    <w:rsid w:val="00836DB8"/>
    <w:rsid w:val="00840A9B"/>
    <w:rsid w:val="008413A7"/>
    <w:rsid w:val="0084166A"/>
    <w:rsid w:val="00842367"/>
    <w:rsid w:val="008435BD"/>
    <w:rsid w:val="008447F1"/>
    <w:rsid w:val="0084602A"/>
    <w:rsid w:val="00846D74"/>
    <w:rsid w:val="00850622"/>
    <w:rsid w:val="00852FB9"/>
    <w:rsid w:val="008531A1"/>
    <w:rsid w:val="00853365"/>
    <w:rsid w:val="00855FEF"/>
    <w:rsid w:val="00856769"/>
    <w:rsid w:val="00856E20"/>
    <w:rsid w:val="00857195"/>
    <w:rsid w:val="0085784A"/>
    <w:rsid w:val="0085786B"/>
    <w:rsid w:val="00857912"/>
    <w:rsid w:val="00857B6A"/>
    <w:rsid w:val="00857E60"/>
    <w:rsid w:val="008603A1"/>
    <w:rsid w:val="008609B6"/>
    <w:rsid w:val="008610DD"/>
    <w:rsid w:val="00861F4A"/>
    <w:rsid w:val="00862432"/>
    <w:rsid w:val="00863AE7"/>
    <w:rsid w:val="00863C9E"/>
    <w:rsid w:val="0086437B"/>
    <w:rsid w:val="00866429"/>
    <w:rsid w:val="0086676D"/>
    <w:rsid w:val="00872646"/>
    <w:rsid w:val="008734CC"/>
    <w:rsid w:val="00874047"/>
    <w:rsid w:val="00874116"/>
    <w:rsid w:val="0087541C"/>
    <w:rsid w:val="00875DB6"/>
    <w:rsid w:val="00876B74"/>
    <w:rsid w:val="00877265"/>
    <w:rsid w:val="00877C21"/>
    <w:rsid w:val="00877CA7"/>
    <w:rsid w:val="00880D2D"/>
    <w:rsid w:val="008817C9"/>
    <w:rsid w:val="00881E00"/>
    <w:rsid w:val="00883DC6"/>
    <w:rsid w:val="00885E59"/>
    <w:rsid w:val="00885FC2"/>
    <w:rsid w:val="0088654D"/>
    <w:rsid w:val="00886E42"/>
    <w:rsid w:val="00887D6C"/>
    <w:rsid w:val="00890CF3"/>
    <w:rsid w:val="008911EF"/>
    <w:rsid w:val="008937D3"/>
    <w:rsid w:val="00894FC3"/>
    <w:rsid w:val="00895813"/>
    <w:rsid w:val="00896C3C"/>
    <w:rsid w:val="00897648"/>
    <w:rsid w:val="008A045B"/>
    <w:rsid w:val="008A148F"/>
    <w:rsid w:val="008A3667"/>
    <w:rsid w:val="008A3F5E"/>
    <w:rsid w:val="008A44CB"/>
    <w:rsid w:val="008A53C4"/>
    <w:rsid w:val="008A6757"/>
    <w:rsid w:val="008A6BD2"/>
    <w:rsid w:val="008B16B6"/>
    <w:rsid w:val="008B197C"/>
    <w:rsid w:val="008B4403"/>
    <w:rsid w:val="008B5153"/>
    <w:rsid w:val="008B5955"/>
    <w:rsid w:val="008B6607"/>
    <w:rsid w:val="008B6FDC"/>
    <w:rsid w:val="008C1A8D"/>
    <w:rsid w:val="008C3B6E"/>
    <w:rsid w:val="008C422C"/>
    <w:rsid w:val="008C5FAB"/>
    <w:rsid w:val="008C6781"/>
    <w:rsid w:val="008C6F25"/>
    <w:rsid w:val="008D04E6"/>
    <w:rsid w:val="008D1B71"/>
    <w:rsid w:val="008D1FE4"/>
    <w:rsid w:val="008D2C44"/>
    <w:rsid w:val="008D41E6"/>
    <w:rsid w:val="008D626B"/>
    <w:rsid w:val="008D6855"/>
    <w:rsid w:val="008D6882"/>
    <w:rsid w:val="008D6CD3"/>
    <w:rsid w:val="008D7597"/>
    <w:rsid w:val="008D75DD"/>
    <w:rsid w:val="008E108F"/>
    <w:rsid w:val="008E2D0A"/>
    <w:rsid w:val="008E3AB2"/>
    <w:rsid w:val="008E72BE"/>
    <w:rsid w:val="008F5FDD"/>
    <w:rsid w:val="008F690B"/>
    <w:rsid w:val="008F69C5"/>
    <w:rsid w:val="00900127"/>
    <w:rsid w:val="00900F88"/>
    <w:rsid w:val="00901933"/>
    <w:rsid w:val="00902072"/>
    <w:rsid w:val="009025A4"/>
    <w:rsid w:val="00906415"/>
    <w:rsid w:val="00914675"/>
    <w:rsid w:val="0091505C"/>
    <w:rsid w:val="00920CD9"/>
    <w:rsid w:val="00921165"/>
    <w:rsid w:val="00921541"/>
    <w:rsid w:val="00921D43"/>
    <w:rsid w:val="00922992"/>
    <w:rsid w:val="00922A15"/>
    <w:rsid w:val="00922F91"/>
    <w:rsid w:val="0092454C"/>
    <w:rsid w:val="009253A3"/>
    <w:rsid w:val="00925E1D"/>
    <w:rsid w:val="009269B9"/>
    <w:rsid w:val="00926A65"/>
    <w:rsid w:val="00926EFB"/>
    <w:rsid w:val="009314DD"/>
    <w:rsid w:val="00932D51"/>
    <w:rsid w:val="00933A3F"/>
    <w:rsid w:val="00934509"/>
    <w:rsid w:val="00934BD9"/>
    <w:rsid w:val="00936DBD"/>
    <w:rsid w:val="00936E0E"/>
    <w:rsid w:val="00937470"/>
    <w:rsid w:val="0093777B"/>
    <w:rsid w:val="009400AB"/>
    <w:rsid w:val="009402D0"/>
    <w:rsid w:val="00940728"/>
    <w:rsid w:val="009438F9"/>
    <w:rsid w:val="00943FE3"/>
    <w:rsid w:val="009452FA"/>
    <w:rsid w:val="009464E8"/>
    <w:rsid w:val="00951DCB"/>
    <w:rsid w:val="009523D4"/>
    <w:rsid w:val="009533AF"/>
    <w:rsid w:val="00954271"/>
    <w:rsid w:val="00954510"/>
    <w:rsid w:val="0095631D"/>
    <w:rsid w:val="00956613"/>
    <w:rsid w:val="00957609"/>
    <w:rsid w:val="009603A4"/>
    <w:rsid w:val="00961F6A"/>
    <w:rsid w:val="00963896"/>
    <w:rsid w:val="0096390F"/>
    <w:rsid w:val="00963EE4"/>
    <w:rsid w:val="0096534F"/>
    <w:rsid w:val="00966085"/>
    <w:rsid w:val="009705DC"/>
    <w:rsid w:val="00971AE8"/>
    <w:rsid w:val="0097374A"/>
    <w:rsid w:val="0097508A"/>
    <w:rsid w:val="00975656"/>
    <w:rsid w:val="009760C2"/>
    <w:rsid w:val="00977463"/>
    <w:rsid w:val="00977906"/>
    <w:rsid w:val="00981642"/>
    <w:rsid w:val="00981891"/>
    <w:rsid w:val="00982871"/>
    <w:rsid w:val="0098445F"/>
    <w:rsid w:val="00986AAA"/>
    <w:rsid w:val="00986F6A"/>
    <w:rsid w:val="009876B5"/>
    <w:rsid w:val="00987DC6"/>
    <w:rsid w:val="00993497"/>
    <w:rsid w:val="00993F7C"/>
    <w:rsid w:val="00994BCB"/>
    <w:rsid w:val="00995ED9"/>
    <w:rsid w:val="009973F8"/>
    <w:rsid w:val="0099782E"/>
    <w:rsid w:val="009A177E"/>
    <w:rsid w:val="009A20EA"/>
    <w:rsid w:val="009A268F"/>
    <w:rsid w:val="009A3829"/>
    <w:rsid w:val="009A3AC1"/>
    <w:rsid w:val="009A455B"/>
    <w:rsid w:val="009A5BBA"/>
    <w:rsid w:val="009A5ECD"/>
    <w:rsid w:val="009A7289"/>
    <w:rsid w:val="009A76F2"/>
    <w:rsid w:val="009A7CB7"/>
    <w:rsid w:val="009B0EE5"/>
    <w:rsid w:val="009B2B1C"/>
    <w:rsid w:val="009B2B4A"/>
    <w:rsid w:val="009B412F"/>
    <w:rsid w:val="009B527F"/>
    <w:rsid w:val="009B5455"/>
    <w:rsid w:val="009B6601"/>
    <w:rsid w:val="009B6660"/>
    <w:rsid w:val="009B6CC2"/>
    <w:rsid w:val="009B6EEE"/>
    <w:rsid w:val="009C1A4D"/>
    <w:rsid w:val="009C39F0"/>
    <w:rsid w:val="009C565C"/>
    <w:rsid w:val="009D0401"/>
    <w:rsid w:val="009D15EB"/>
    <w:rsid w:val="009D1F16"/>
    <w:rsid w:val="009D29E3"/>
    <w:rsid w:val="009D3211"/>
    <w:rsid w:val="009D3EA4"/>
    <w:rsid w:val="009D532A"/>
    <w:rsid w:val="009D609B"/>
    <w:rsid w:val="009D77A8"/>
    <w:rsid w:val="009E0454"/>
    <w:rsid w:val="009E105F"/>
    <w:rsid w:val="009E1915"/>
    <w:rsid w:val="009E26B4"/>
    <w:rsid w:val="009E3085"/>
    <w:rsid w:val="009E313C"/>
    <w:rsid w:val="009E582A"/>
    <w:rsid w:val="009E5A85"/>
    <w:rsid w:val="009E6470"/>
    <w:rsid w:val="009E6936"/>
    <w:rsid w:val="009E71E6"/>
    <w:rsid w:val="009F039F"/>
    <w:rsid w:val="009F0AF7"/>
    <w:rsid w:val="009F3BCE"/>
    <w:rsid w:val="009F3CF1"/>
    <w:rsid w:val="009F54C2"/>
    <w:rsid w:val="009F64C3"/>
    <w:rsid w:val="009F692C"/>
    <w:rsid w:val="009F6CE8"/>
    <w:rsid w:val="00A0208D"/>
    <w:rsid w:val="00A020DE"/>
    <w:rsid w:val="00A021F0"/>
    <w:rsid w:val="00A02453"/>
    <w:rsid w:val="00A039B1"/>
    <w:rsid w:val="00A04177"/>
    <w:rsid w:val="00A04B4F"/>
    <w:rsid w:val="00A05E84"/>
    <w:rsid w:val="00A072E7"/>
    <w:rsid w:val="00A073A0"/>
    <w:rsid w:val="00A07A7F"/>
    <w:rsid w:val="00A07E8B"/>
    <w:rsid w:val="00A11924"/>
    <w:rsid w:val="00A11A07"/>
    <w:rsid w:val="00A12BCE"/>
    <w:rsid w:val="00A13718"/>
    <w:rsid w:val="00A20704"/>
    <w:rsid w:val="00A20B8A"/>
    <w:rsid w:val="00A2151D"/>
    <w:rsid w:val="00A22F4D"/>
    <w:rsid w:val="00A24B3A"/>
    <w:rsid w:val="00A24C25"/>
    <w:rsid w:val="00A24E1D"/>
    <w:rsid w:val="00A264B1"/>
    <w:rsid w:val="00A27CB2"/>
    <w:rsid w:val="00A3105D"/>
    <w:rsid w:val="00A3224D"/>
    <w:rsid w:val="00A32877"/>
    <w:rsid w:val="00A32CF2"/>
    <w:rsid w:val="00A34E5A"/>
    <w:rsid w:val="00A35896"/>
    <w:rsid w:val="00A37AC1"/>
    <w:rsid w:val="00A41067"/>
    <w:rsid w:val="00A41B74"/>
    <w:rsid w:val="00A426CC"/>
    <w:rsid w:val="00A42E87"/>
    <w:rsid w:val="00A43634"/>
    <w:rsid w:val="00A43F3D"/>
    <w:rsid w:val="00A44310"/>
    <w:rsid w:val="00A45B49"/>
    <w:rsid w:val="00A467F5"/>
    <w:rsid w:val="00A5058E"/>
    <w:rsid w:val="00A5221D"/>
    <w:rsid w:val="00A5313D"/>
    <w:rsid w:val="00A532F7"/>
    <w:rsid w:val="00A548A7"/>
    <w:rsid w:val="00A569F9"/>
    <w:rsid w:val="00A5792A"/>
    <w:rsid w:val="00A602DE"/>
    <w:rsid w:val="00A6143F"/>
    <w:rsid w:val="00A61F01"/>
    <w:rsid w:val="00A62792"/>
    <w:rsid w:val="00A63885"/>
    <w:rsid w:val="00A640E8"/>
    <w:rsid w:val="00A649C2"/>
    <w:rsid w:val="00A64A93"/>
    <w:rsid w:val="00A64D76"/>
    <w:rsid w:val="00A65944"/>
    <w:rsid w:val="00A67372"/>
    <w:rsid w:val="00A706C9"/>
    <w:rsid w:val="00A71BE8"/>
    <w:rsid w:val="00A71CA6"/>
    <w:rsid w:val="00A71F86"/>
    <w:rsid w:val="00A72453"/>
    <w:rsid w:val="00A725CB"/>
    <w:rsid w:val="00A72B40"/>
    <w:rsid w:val="00A73C48"/>
    <w:rsid w:val="00A75B3E"/>
    <w:rsid w:val="00A76319"/>
    <w:rsid w:val="00A77DB9"/>
    <w:rsid w:val="00A80E99"/>
    <w:rsid w:val="00A82FAA"/>
    <w:rsid w:val="00A832A3"/>
    <w:rsid w:val="00A832F7"/>
    <w:rsid w:val="00A90CFD"/>
    <w:rsid w:val="00A92D98"/>
    <w:rsid w:val="00A93D26"/>
    <w:rsid w:val="00A93FBF"/>
    <w:rsid w:val="00A94EAA"/>
    <w:rsid w:val="00A9733C"/>
    <w:rsid w:val="00A97CD2"/>
    <w:rsid w:val="00AA0E72"/>
    <w:rsid w:val="00AA3B75"/>
    <w:rsid w:val="00AA551B"/>
    <w:rsid w:val="00AA69DB"/>
    <w:rsid w:val="00AB0B67"/>
    <w:rsid w:val="00AB1916"/>
    <w:rsid w:val="00AB2060"/>
    <w:rsid w:val="00AB4563"/>
    <w:rsid w:val="00AC219C"/>
    <w:rsid w:val="00AC23B3"/>
    <w:rsid w:val="00AC3CE7"/>
    <w:rsid w:val="00AC67F7"/>
    <w:rsid w:val="00AD0050"/>
    <w:rsid w:val="00AD6448"/>
    <w:rsid w:val="00AD6B14"/>
    <w:rsid w:val="00AE100A"/>
    <w:rsid w:val="00AE129C"/>
    <w:rsid w:val="00AE1662"/>
    <w:rsid w:val="00AE1999"/>
    <w:rsid w:val="00AE2E5F"/>
    <w:rsid w:val="00AE3352"/>
    <w:rsid w:val="00AE4151"/>
    <w:rsid w:val="00AE4F19"/>
    <w:rsid w:val="00AE79F9"/>
    <w:rsid w:val="00AE7AB7"/>
    <w:rsid w:val="00AE7B56"/>
    <w:rsid w:val="00AF28E2"/>
    <w:rsid w:val="00AF338C"/>
    <w:rsid w:val="00AF54B9"/>
    <w:rsid w:val="00AF67E7"/>
    <w:rsid w:val="00AF696B"/>
    <w:rsid w:val="00B03C45"/>
    <w:rsid w:val="00B041BD"/>
    <w:rsid w:val="00B05112"/>
    <w:rsid w:val="00B062DE"/>
    <w:rsid w:val="00B113B6"/>
    <w:rsid w:val="00B11A52"/>
    <w:rsid w:val="00B1420D"/>
    <w:rsid w:val="00B15C63"/>
    <w:rsid w:val="00B21E0D"/>
    <w:rsid w:val="00B22DDA"/>
    <w:rsid w:val="00B23190"/>
    <w:rsid w:val="00B23F98"/>
    <w:rsid w:val="00B244CB"/>
    <w:rsid w:val="00B26155"/>
    <w:rsid w:val="00B2647E"/>
    <w:rsid w:val="00B26FB1"/>
    <w:rsid w:val="00B27C49"/>
    <w:rsid w:val="00B30C50"/>
    <w:rsid w:val="00B30CA5"/>
    <w:rsid w:val="00B34B6D"/>
    <w:rsid w:val="00B3570C"/>
    <w:rsid w:val="00B37AA6"/>
    <w:rsid w:val="00B37DD4"/>
    <w:rsid w:val="00B40FF5"/>
    <w:rsid w:val="00B411EB"/>
    <w:rsid w:val="00B41973"/>
    <w:rsid w:val="00B43310"/>
    <w:rsid w:val="00B46A4D"/>
    <w:rsid w:val="00B517B7"/>
    <w:rsid w:val="00B51942"/>
    <w:rsid w:val="00B55385"/>
    <w:rsid w:val="00B5780B"/>
    <w:rsid w:val="00B578B7"/>
    <w:rsid w:val="00B57DD2"/>
    <w:rsid w:val="00B64F50"/>
    <w:rsid w:val="00B65E9A"/>
    <w:rsid w:val="00B6668E"/>
    <w:rsid w:val="00B66B04"/>
    <w:rsid w:val="00B676EF"/>
    <w:rsid w:val="00B7214A"/>
    <w:rsid w:val="00B729D9"/>
    <w:rsid w:val="00B73D9F"/>
    <w:rsid w:val="00B742B0"/>
    <w:rsid w:val="00B74B6A"/>
    <w:rsid w:val="00B75335"/>
    <w:rsid w:val="00B75DB1"/>
    <w:rsid w:val="00B76453"/>
    <w:rsid w:val="00B765B7"/>
    <w:rsid w:val="00B77833"/>
    <w:rsid w:val="00B778D7"/>
    <w:rsid w:val="00B77FC6"/>
    <w:rsid w:val="00B800A3"/>
    <w:rsid w:val="00B80129"/>
    <w:rsid w:val="00B8174F"/>
    <w:rsid w:val="00B8175F"/>
    <w:rsid w:val="00B81A0C"/>
    <w:rsid w:val="00B81BB1"/>
    <w:rsid w:val="00B81D29"/>
    <w:rsid w:val="00B84DE7"/>
    <w:rsid w:val="00B84F60"/>
    <w:rsid w:val="00B87369"/>
    <w:rsid w:val="00B91C64"/>
    <w:rsid w:val="00B92612"/>
    <w:rsid w:val="00B9290D"/>
    <w:rsid w:val="00B92C4C"/>
    <w:rsid w:val="00B92D06"/>
    <w:rsid w:val="00B92D87"/>
    <w:rsid w:val="00B92EF0"/>
    <w:rsid w:val="00B9374E"/>
    <w:rsid w:val="00B938F7"/>
    <w:rsid w:val="00B96290"/>
    <w:rsid w:val="00B962A0"/>
    <w:rsid w:val="00BA05BB"/>
    <w:rsid w:val="00BA10FA"/>
    <w:rsid w:val="00BA2EA3"/>
    <w:rsid w:val="00BA4077"/>
    <w:rsid w:val="00BA4387"/>
    <w:rsid w:val="00BA5E9C"/>
    <w:rsid w:val="00BA74A5"/>
    <w:rsid w:val="00BA76FF"/>
    <w:rsid w:val="00BA7DD9"/>
    <w:rsid w:val="00BB06D6"/>
    <w:rsid w:val="00BB104A"/>
    <w:rsid w:val="00BB2A60"/>
    <w:rsid w:val="00BB36A8"/>
    <w:rsid w:val="00BB3E64"/>
    <w:rsid w:val="00BB4316"/>
    <w:rsid w:val="00BB58F2"/>
    <w:rsid w:val="00BB5D83"/>
    <w:rsid w:val="00BB6A37"/>
    <w:rsid w:val="00BC0633"/>
    <w:rsid w:val="00BC0E87"/>
    <w:rsid w:val="00BC12A2"/>
    <w:rsid w:val="00BC18AD"/>
    <w:rsid w:val="00BC2E87"/>
    <w:rsid w:val="00BC4A86"/>
    <w:rsid w:val="00BC6AA8"/>
    <w:rsid w:val="00BC7202"/>
    <w:rsid w:val="00BC7FDF"/>
    <w:rsid w:val="00BD0C6A"/>
    <w:rsid w:val="00BD15C9"/>
    <w:rsid w:val="00BD19D6"/>
    <w:rsid w:val="00BD31CC"/>
    <w:rsid w:val="00BD5DC9"/>
    <w:rsid w:val="00BD6CAA"/>
    <w:rsid w:val="00BD7ECD"/>
    <w:rsid w:val="00BE09BF"/>
    <w:rsid w:val="00BE132F"/>
    <w:rsid w:val="00BE1DE8"/>
    <w:rsid w:val="00BE23C1"/>
    <w:rsid w:val="00BE4183"/>
    <w:rsid w:val="00BE747D"/>
    <w:rsid w:val="00BF1D32"/>
    <w:rsid w:val="00BF224D"/>
    <w:rsid w:val="00BF364B"/>
    <w:rsid w:val="00BF7BFD"/>
    <w:rsid w:val="00BF7F5A"/>
    <w:rsid w:val="00C019A1"/>
    <w:rsid w:val="00C01B83"/>
    <w:rsid w:val="00C02218"/>
    <w:rsid w:val="00C02E8A"/>
    <w:rsid w:val="00C0379D"/>
    <w:rsid w:val="00C03CA2"/>
    <w:rsid w:val="00C0401C"/>
    <w:rsid w:val="00C04FBD"/>
    <w:rsid w:val="00C06954"/>
    <w:rsid w:val="00C069A9"/>
    <w:rsid w:val="00C071B8"/>
    <w:rsid w:val="00C07FDE"/>
    <w:rsid w:val="00C103B9"/>
    <w:rsid w:val="00C1078A"/>
    <w:rsid w:val="00C10AB3"/>
    <w:rsid w:val="00C127C6"/>
    <w:rsid w:val="00C14517"/>
    <w:rsid w:val="00C156B4"/>
    <w:rsid w:val="00C16D46"/>
    <w:rsid w:val="00C17F26"/>
    <w:rsid w:val="00C200E1"/>
    <w:rsid w:val="00C24DD2"/>
    <w:rsid w:val="00C2512A"/>
    <w:rsid w:val="00C251C6"/>
    <w:rsid w:val="00C2596C"/>
    <w:rsid w:val="00C27F00"/>
    <w:rsid w:val="00C27F49"/>
    <w:rsid w:val="00C33515"/>
    <w:rsid w:val="00C33914"/>
    <w:rsid w:val="00C35492"/>
    <w:rsid w:val="00C366C8"/>
    <w:rsid w:val="00C3746E"/>
    <w:rsid w:val="00C41137"/>
    <w:rsid w:val="00C4165B"/>
    <w:rsid w:val="00C43E29"/>
    <w:rsid w:val="00C46D71"/>
    <w:rsid w:val="00C47D46"/>
    <w:rsid w:val="00C5065C"/>
    <w:rsid w:val="00C5066F"/>
    <w:rsid w:val="00C52559"/>
    <w:rsid w:val="00C54DDB"/>
    <w:rsid w:val="00C556CA"/>
    <w:rsid w:val="00C557F3"/>
    <w:rsid w:val="00C56295"/>
    <w:rsid w:val="00C5741E"/>
    <w:rsid w:val="00C57858"/>
    <w:rsid w:val="00C57993"/>
    <w:rsid w:val="00C604F7"/>
    <w:rsid w:val="00C60912"/>
    <w:rsid w:val="00C61113"/>
    <w:rsid w:val="00C61DA4"/>
    <w:rsid w:val="00C637C8"/>
    <w:rsid w:val="00C645FE"/>
    <w:rsid w:val="00C647BD"/>
    <w:rsid w:val="00C64A04"/>
    <w:rsid w:val="00C66293"/>
    <w:rsid w:val="00C6734E"/>
    <w:rsid w:val="00C6788E"/>
    <w:rsid w:val="00C707C1"/>
    <w:rsid w:val="00C73011"/>
    <w:rsid w:val="00C73688"/>
    <w:rsid w:val="00C739B1"/>
    <w:rsid w:val="00C757F6"/>
    <w:rsid w:val="00C76643"/>
    <w:rsid w:val="00C76A08"/>
    <w:rsid w:val="00C80713"/>
    <w:rsid w:val="00C81BC4"/>
    <w:rsid w:val="00C8290F"/>
    <w:rsid w:val="00C8430C"/>
    <w:rsid w:val="00C8768B"/>
    <w:rsid w:val="00C87737"/>
    <w:rsid w:val="00C87F2E"/>
    <w:rsid w:val="00C90821"/>
    <w:rsid w:val="00C9126D"/>
    <w:rsid w:val="00C932A0"/>
    <w:rsid w:val="00C93DED"/>
    <w:rsid w:val="00C94598"/>
    <w:rsid w:val="00C95A75"/>
    <w:rsid w:val="00C976DF"/>
    <w:rsid w:val="00C97764"/>
    <w:rsid w:val="00CA1F0B"/>
    <w:rsid w:val="00CA4C69"/>
    <w:rsid w:val="00CA52C9"/>
    <w:rsid w:val="00CA5A5C"/>
    <w:rsid w:val="00CA6792"/>
    <w:rsid w:val="00CB00D8"/>
    <w:rsid w:val="00CB6D21"/>
    <w:rsid w:val="00CB7009"/>
    <w:rsid w:val="00CB70B5"/>
    <w:rsid w:val="00CC1386"/>
    <w:rsid w:val="00CC142C"/>
    <w:rsid w:val="00CC2480"/>
    <w:rsid w:val="00CC29C1"/>
    <w:rsid w:val="00CC2FB9"/>
    <w:rsid w:val="00CC3F66"/>
    <w:rsid w:val="00CC60FE"/>
    <w:rsid w:val="00CC65A5"/>
    <w:rsid w:val="00CC68A1"/>
    <w:rsid w:val="00CC6CFA"/>
    <w:rsid w:val="00CD25EC"/>
    <w:rsid w:val="00CD3665"/>
    <w:rsid w:val="00CD4BFC"/>
    <w:rsid w:val="00CD4F68"/>
    <w:rsid w:val="00CD510C"/>
    <w:rsid w:val="00CE1C6B"/>
    <w:rsid w:val="00CE3FFF"/>
    <w:rsid w:val="00CE45B3"/>
    <w:rsid w:val="00CE5BC1"/>
    <w:rsid w:val="00CE632F"/>
    <w:rsid w:val="00CE770E"/>
    <w:rsid w:val="00CF2FC6"/>
    <w:rsid w:val="00CF5379"/>
    <w:rsid w:val="00CF75C2"/>
    <w:rsid w:val="00CF7D11"/>
    <w:rsid w:val="00D000F6"/>
    <w:rsid w:val="00D01D46"/>
    <w:rsid w:val="00D052A1"/>
    <w:rsid w:val="00D05D56"/>
    <w:rsid w:val="00D064C3"/>
    <w:rsid w:val="00D102EE"/>
    <w:rsid w:val="00D1175F"/>
    <w:rsid w:val="00D12107"/>
    <w:rsid w:val="00D1475D"/>
    <w:rsid w:val="00D14BD2"/>
    <w:rsid w:val="00D1787E"/>
    <w:rsid w:val="00D20835"/>
    <w:rsid w:val="00D21C1E"/>
    <w:rsid w:val="00D233EE"/>
    <w:rsid w:val="00D23D66"/>
    <w:rsid w:val="00D24B27"/>
    <w:rsid w:val="00D24BE5"/>
    <w:rsid w:val="00D24E85"/>
    <w:rsid w:val="00D263CE"/>
    <w:rsid w:val="00D3241A"/>
    <w:rsid w:val="00D3398A"/>
    <w:rsid w:val="00D345FB"/>
    <w:rsid w:val="00D350BA"/>
    <w:rsid w:val="00D35CFD"/>
    <w:rsid w:val="00D37B3F"/>
    <w:rsid w:val="00D37FA8"/>
    <w:rsid w:val="00D40E49"/>
    <w:rsid w:val="00D415F0"/>
    <w:rsid w:val="00D41A92"/>
    <w:rsid w:val="00D41F83"/>
    <w:rsid w:val="00D427EF"/>
    <w:rsid w:val="00D4303D"/>
    <w:rsid w:val="00D45BEB"/>
    <w:rsid w:val="00D45C40"/>
    <w:rsid w:val="00D46641"/>
    <w:rsid w:val="00D511D6"/>
    <w:rsid w:val="00D524E6"/>
    <w:rsid w:val="00D52AF9"/>
    <w:rsid w:val="00D52ED3"/>
    <w:rsid w:val="00D531BB"/>
    <w:rsid w:val="00D54724"/>
    <w:rsid w:val="00D548E7"/>
    <w:rsid w:val="00D5498D"/>
    <w:rsid w:val="00D54C71"/>
    <w:rsid w:val="00D56751"/>
    <w:rsid w:val="00D56A44"/>
    <w:rsid w:val="00D6010F"/>
    <w:rsid w:val="00D6126F"/>
    <w:rsid w:val="00D61D5D"/>
    <w:rsid w:val="00D62525"/>
    <w:rsid w:val="00D63129"/>
    <w:rsid w:val="00D63784"/>
    <w:rsid w:val="00D637E8"/>
    <w:rsid w:val="00D63974"/>
    <w:rsid w:val="00D652D9"/>
    <w:rsid w:val="00D67517"/>
    <w:rsid w:val="00D72BDC"/>
    <w:rsid w:val="00D74919"/>
    <w:rsid w:val="00D7558B"/>
    <w:rsid w:val="00D7586B"/>
    <w:rsid w:val="00D75B83"/>
    <w:rsid w:val="00D76E97"/>
    <w:rsid w:val="00D771EC"/>
    <w:rsid w:val="00D77236"/>
    <w:rsid w:val="00D81CEB"/>
    <w:rsid w:val="00D8329D"/>
    <w:rsid w:val="00D83767"/>
    <w:rsid w:val="00D83C28"/>
    <w:rsid w:val="00D83FAE"/>
    <w:rsid w:val="00D8447A"/>
    <w:rsid w:val="00D84DB1"/>
    <w:rsid w:val="00D85141"/>
    <w:rsid w:val="00D854AE"/>
    <w:rsid w:val="00D85B10"/>
    <w:rsid w:val="00D86322"/>
    <w:rsid w:val="00D86661"/>
    <w:rsid w:val="00D86C82"/>
    <w:rsid w:val="00D87318"/>
    <w:rsid w:val="00D91555"/>
    <w:rsid w:val="00D91D26"/>
    <w:rsid w:val="00D9269A"/>
    <w:rsid w:val="00D93889"/>
    <w:rsid w:val="00D93B78"/>
    <w:rsid w:val="00D94AEA"/>
    <w:rsid w:val="00D956CF"/>
    <w:rsid w:val="00D97C07"/>
    <w:rsid w:val="00DA0520"/>
    <w:rsid w:val="00DA08D0"/>
    <w:rsid w:val="00DA17DF"/>
    <w:rsid w:val="00DA2A4A"/>
    <w:rsid w:val="00DA5E64"/>
    <w:rsid w:val="00DA7AFA"/>
    <w:rsid w:val="00DA7F0C"/>
    <w:rsid w:val="00DB3649"/>
    <w:rsid w:val="00DB4762"/>
    <w:rsid w:val="00DB534A"/>
    <w:rsid w:val="00DB5D82"/>
    <w:rsid w:val="00DB5DC0"/>
    <w:rsid w:val="00DB607F"/>
    <w:rsid w:val="00DB615F"/>
    <w:rsid w:val="00DB6450"/>
    <w:rsid w:val="00DB6A2E"/>
    <w:rsid w:val="00DB7C97"/>
    <w:rsid w:val="00DB7F2D"/>
    <w:rsid w:val="00DC0812"/>
    <w:rsid w:val="00DC0B80"/>
    <w:rsid w:val="00DC1343"/>
    <w:rsid w:val="00DC1CC4"/>
    <w:rsid w:val="00DC3C95"/>
    <w:rsid w:val="00DC5C8F"/>
    <w:rsid w:val="00DC765C"/>
    <w:rsid w:val="00DD0EA1"/>
    <w:rsid w:val="00DD20B7"/>
    <w:rsid w:val="00DD368E"/>
    <w:rsid w:val="00DD3872"/>
    <w:rsid w:val="00DD5DAC"/>
    <w:rsid w:val="00DD63F4"/>
    <w:rsid w:val="00DD6843"/>
    <w:rsid w:val="00DD684E"/>
    <w:rsid w:val="00DD705B"/>
    <w:rsid w:val="00DD7481"/>
    <w:rsid w:val="00DD77F5"/>
    <w:rsid w:val="00DE0578"/>
    <w:rsid w:val="00DE2132"/>
    <w:rsid w:val="00DE32F5"/>
    <w:rsid w:val="00DE38A1"/>
    <w:rsid w:val="00DE5594"/>
    <w:rsid w:val="00DE61FA"/>
    <w:rsid w:val="00DE7184"/>
    <w:rsid w:val="00DF0C08"/>
    <w:rsid w:val="00DF0E66"/>
    <w:rsid w:val="00DF0E7C"/>
    <w:rsid w:val="00DF2065"/>
    <w:rsid w:val="00DF340A"/>
    <w:rsid w:val="00DF622A"/>
    <w:rsid w:val="00DF7129"/>
    <w:rsid w:val="00E00403"/>
    <w:rsid w:val="00E005F2"/>
    <w:rsid w:val="00E007B1"/>
    <w:rsid w:val="00E0151D"/>
    <w:rsid w:val="00E01683"/>
    <w:rsid w:val="00E025AF"/>
    <w:rsid w:val="00E0298B"/>
    <w:rsid w:val="00E0465E"/>
    <w:rsid w:val="00E05E88"/>
    <w:rsid w:val="00E06844"/>
    <w:rsid w:val="00E07277"/>
    <w:rsid w:val="00E104BD"/>
    <w:rsid w:val="00E10B13"/>
    <w:rsid w:val="00E111AC"/>
    <w:rsid w:val="00E11372"/>
    <w:rsid w:val="00E11490"/>
    <w:rsid w:val="00E11515"/>
    <w:rsid w:val="00E11FD1"/>
    <w:rsid w:val="00E12E69"/>
    <w:rsid w:val="00E14321"/>
    <w:rsid w:val="00E147FD"/>
    <w:rsid w:val="00E14BD5"/>
    <w:rsid w:val="00E15519"/>
    <w:rsid w:val="00E15761"/>
    <w:rsid w:val="00E17FD6"/>
    <w:rsid w:val="00E20167"/>
    <w:rsid w:val="00E203F6"/>
    <w:rsid w:val="00E205D7"/>
    <w:rsid w:val="00E20B65"/>
    <w:rsid w:val="00E227CD"/>
    <w:rsid w:val="00E22A3F"/>
    <w:rsid w:val="00E23564"/>
    <w:rsid w:val="00E24D97"/>
    <w:rsid w:val="00E25671"/>
    <w:rsid w:val="00E264A1"/>
    <w:rsid w:val="00E266AA"/>
    <w:rsid w:val="00E27561"/>
    <w:rsid w:val="00E3183C"/>
    <w:rsid w:val="00E31C64"/>
    <w:rsid w:val="00E329D9"/>
    <w:rsid w:val="00E3386E"/>
    <w:rsid w:val="00E35C7D"/>
    <w:rsid w:val="00E37319"/>
    <w:rsid w:val="00E37CDA"/>
    <w:rsid w:val="00E4135E"/>
    <w:rsid w:val="00E460E0"/>
    <w:rsid w:val="00E505DC"/>
    <w:rsid w:val="00E51DA9"/>
    <w:rsid w:val="00E52397"/>
    <w:rsid w:val="00E5255B"/>
    <w:rsid w:val="00E54699"/>
    <w:rsid w:val="00E54B85"/>
    <w:rsid w:val="00E55DF8"/>
    <w:rsid w:val="00E566D6"/>
    <w:rsid w:val="00E56A98"/>
    <w:rsid w:val="00E5763F"/>
    <w:rsid w:val="00E602B3"/>
    <w:rsid w:val="00E60C94"/>
    <w:rsid w:val="00E610F7"/>
    <w:rsid w:val="00E6246C"/>
    <w:rsid w:val="00E63016"/>
    <w:rsid w:val="00E6330E"/>
    <w:rsid w:val="00E6487C"/>
    <w:rsid w:val="00E656EF"/>
    <w:rsid w:val="00E6648E"/>
    <w:rsid w:val="00E67455"/>
    <w:rsid w:val="00E67B36"/>
    <w:rsid w:val="00E709C6"/>
    <w:rsid w:val="00E725F9"/>
    <w:rsid w:val="00E73A5C"/>
    <w:rsid w:val="00E73FF2"/>
    <w:rsid w:val="00E7435B"/>
    <w:rsid w:val="00E7439F"/>
    <w:rsid w:val="00E7532D"/>
    <w:rsid w:val="00E7662B"/>
    <w:rsid w:val="00E767B1"/>
    <w:rsid w:val="00E77299"/>
    <w:rsid w:val="00E77D8C"/>
    <w:rsid w:val="00E81163"/>
    <w:rsid w:val="00E8177A"/>
    <w:rsid w:val="00E82316"/>
    <w:rsid w:val="00E82475"/>
    <w:rsid w:val="00E82C4F"/>
    <w:rsid w:val="00E84BB9"/>
    <w:rsid w:val="00E864ED"/>
    <w:rsid w:val="00E900DD"/>
    <w:rsid w:val="00E91896"/>
    <w:rsid w:val="00E93152"/>
    <w:rsid w:val="00E9386B"/>
    <w:rsid w:val="00E94509"/>
    <w:rsid w:val="00E95524"/>
    <w:rsid w:val="00E95D61"/>
    <w:rsid w:val="00EA003B"/>
    <w:rsid w:val="00EA0092"/>
    <w:rsid w:val="00EA0B3D"/>
    <w:rsid w:val="00EA0C91"/>
    <w:rsid w:val="00EA14B9"/>
    <w:rsid w:val="00EA3B5F"/>
    <w:rsid w:val="00EA52ED"/>
    <w:rsid w:val="00EA53E6"/>
    <w:rsid w:val="00EA5B6F"/>
    <w:rsid w:val="00EA7EC3"/>
    <w:rsid w:val="00EB1694"/>
    <w:rsid w:val="00EB2084"/>
    <w:rsid w:val="00EB357B"/>
    <w:rsid w:val="00EB4BE7"/>
    <w:rsid w:val="00EB63E6"/>
    <w:rsid w:val="00EB69E7"/>
    <w:rsid w:val="00EB6C01"/>
    <w:rsid w:val="00EB706B"/>
    <w:rsid w:val="00EB7555"/>
    <w:rsid w:val="00EB7F4A"/>
    <w:rsid w:val="00EC043F"/>
    <w:rsid w:val="00EC09C7"/>
    <w:rsid w:val="00EC2DE6"/>
    <w:rsid w:val="00EC359C"/>
    <w:rsid w:val="00EC3662"/>
    <w:rsid w:val="00EC493F"/>
    <w:rsid w:val="00EC4CAE"/>
    <w:rsid w:val="00EC58CE"/>
    <w:rsid w:val="00EC5AD6"/>
    <w:rsid w:val="00EC6237"/>
    <w:rsid w:val="00EC6DE9"/>
    <w:rsid w:val="00EC7CFA"/>
    <w:rsid w:val="00ED2CB4"/>
    <w:rsid w:val="00ED3E75"/>
    <w:rsid w:val="00ED509F"/>
    <w:rsid w:val="00ED5356"/>
    <w:rsid w:val="00ED5DC3"/>
    <w:rsid w:val="00ED6178"/>
    <w:rsid w:val="00ED6E66"/>
    <w:rsid w:val="00EE0458"/>
    <w:rsid w:val="00EE0D24"/>
    <w:rsid w:val="00EE1D3B"/>
    <w:rsid w:val="00EE52A1"/>
    <w:rsid w:val="00EE5CA7"/>
    <w:rsid w:val="00EE5FE0"/>
    <w:rsid w:val="00EE6EA1"/>
    <w:rsid w:val="00EF07C1"/>
    <w:rsid w:val="00EF0E5B"/>
    <w:rsid w:val="00EF2648"/>
    <w:rsid w:val="00EF4117"/>
    <w:rsid w:val="00EF5188"/>
    <w:rsid w:val="00EF53C5"/>
    <w:rsid w:val="00EF612D"/>
    <w:rsid w:val="00EF762E"/>
    <w:rsid w:val="00EF7B38"/>
    <w:rsid w:val="00EF7D5D"/>
    <w:rsid w:val="00F00EA4"/>
    <w:rsid w:val="00F03180"/>
    <w:rsid w:val="00F033CD"/>
    <w:rsid w:val="00F0713A"/>
    <w:rsid w:val="00F0785C"/>
    <w:rsid w:val="00F105ED"/>
    <w:rsid w:val="00F10F04"/>
    <w:rsid w:val="00F12C04"/>
    <w:rsid w:val="00F133E8"/>
    <w:rsid w:val="00F13962"/>
    <w:rsid w:val="00F1505B"/>
    <w:rsid w:val="00F15DD9"/>
    <w:rsid w:val="00F217E5"/>
    <w:rsid w:val="00F224C1"/>
    <w:rsid w:val="00F22DE8"/>
    <w:rsid w:val="00F2319E"/>
    <w:rsid w:val="00F25E85"/>
    <w:rsid w:val="00F31406"/>
    <w:rsid w:val="00F314E9"/>
    <w:rsid w:val="00F3177D"/>
    <w:rsid w:val="00F34621"/>
    <w:rsid w:val="00F349D0"/>
    <w:rsid w:val="00F35E6E"/>
    <w:rsid w:val="00F36A6A"/>
    <w:rsid w:val="00F37F89"/>
    <w:rsid w:val="00F41288"/>
    <w:rsid w:val="00F41458"/>
    <w:rsid w:val="00F42F42"/>
    <w:rsid w:val="00F44CD0"/>
    <w:rsid w:val="00F4535D"/>
    <w:rsid w:val="00F45E10"/>
    <w:rsid w:val="00F4757F"/>
    <w:rsid w:val="00F475B0"/>
    <w:rsid w:val="00F47EE2"/>
    <w:rsid w:val="00F50DEF"/>
    <w:rsid w:val="00F53BDF"/>
    <w:rsid w:val="00F56B47"/>
    <w:rsid w:val="00F60AA8"/>
    <w:rsid w:val="00F61C1D"/>
    <w:rsid w:val="00F62676"/>
    <w:rsid w:val="00F6560F"/>
    <w:rsid w:val="00F71950"/>
    <w:rsid w:val="00F73EED"/>
    <w:rsid w:val="00F75706"/>
    <w:rsid w:val="00F76E47"/>
    <w:rsid w:val="00F773D2"/>
    <w:rsid w:val="00F80F9F"/>
    <w:rsid w:val="00F90941"/>
    <w:rsid w:val="00F92E6F"/>
    <w:rsid w:val="00F92F4D"/>
    <w:rsid w:val="00F92F79"/>
    <w:rsid w:val="00F94C8E"/>
    <w:rsid w:val="00F966B4"/>
    <w:rsid w:val="00F9673C"/>
    <w:rsid w:val="00F96885"/>
    <w:rsid w:val="00F9763F"/>
    <w:rsid w:val="00F97879"/>
    <w:rsid w:val="00F979AE"/>
    <w:rsid w:val="00FA1CDD"/>
    <w:rsid w:val="00FA20BD"/>
    <w:rsid w:val="00FA3857"/>
    <w:rsid w:val="00FA3DD6"/>
    <w:rsid w:val="00FB1E03"/>
    <w:rsid w:val="00FB3B6E"/>
    <w:rsid w:val="00FB410C"/>
    <w:rsid w:val="00FB4ADF"/>
    <w:rsid w:val="00FB5275"/>
    <w:rsid w:val="00FB5649"/>
    <w:rsid w:val="00FB5974"/>
    <w:rsid w:val="00FB688E"/>
    <w:rsid w:val="00FB6FB7"/>
    <w:rsid w:val="00FB7526"/>
    <w:rsid w:val="00FB7BA4"/>
    <w:rsid w:val="00FC247A"/>
    <w:rsid w:val="00FC5BEB"/>
    <w:rsid w:val="00FC5D43"/>
    <w:rsid w:val="00FC6863"/>
    <w:rsid w:val="00FD1529"/>
    <w:rsid w:val="00FD1858"/>
    <w:rsid w:val="00FD344D"/>
    <w:rsid w:val="00FD3B10"/>
    <w:rsid w:val="00FD5F83"/>
    <w:rsid w:val="00FD6D48"/>
    <w:rsid w:val="00FE1336"/>
    <w:rsid w:val="00FE2217"/>
    <w:rsid w:val="00FE4D19"/>
    <w:rsid w:val="00FE5BB4"/>
    <w:rsid w:val="00FE6104"/>
    <w:rsid w:val="00FE6943"/>
    <w:rsid w:val="00FE75B5"/>
    <w:rsid w:val="00FE76B6"/>
    <w:rsid w:val="00FE7768"/>
    <w:rsid w:val="00FF02A3"/>
    <w:rsid w:val="00FF0870"/>
    <w:rsid w:val="00FF0FA3"/>
    <w:rsid w:val="00FF1707"/>
    <w:rsid w:val="00FF2CF0"/>
    <w:rsid w:val="00FF42AE"/>
    <w:rsid w:val="00FF42AF"/>
    <w:rsid w:val="00FF5470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9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5830E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830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583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9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5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9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5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2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77;&#1074;&#1095;&#1077;&#1085;&#1082;&#1086;\Desktop\&#1095;&#1077;&#1088;&#1085;&#1086;&#1074;&#1080;&#1082;&#1080;\&#1087;&#1088;&#1086;&#1092;&#1086;&#1089;&#1084;&#1086;&#1090;&#1088;&#1099;%20&#1092;%203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77;&#1074;&#1095;&#1077;&#1085;&#1082;&#1086;\Desktop\&#1095;&#1077;&#1088;&#1085;&#1086;&#1074;&#1080;&#1082;&#1080;\&#1087;&#1088;&#1086;&#1092;&#1086;&#1089;&#1084;&#1086;&#1090;&#1088;&#1099;%20&#1092;%203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77;&#1074;&#1095;&#1077;&#1085;&#1082;&#1086;\Desktop\&#1095;&#1077;&#1088;&#1085;&#1086;&#1074;&#1080;&#1082;&#1080;\&#1087;&#1088;&#1086;&#1092;&#1086;&#1089;&#1084;&#1086;&#1090;&#1088;&#1099;%20&#1092;%20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Лист1!$A$15</c:f>
              <c:strCache>
                <c:ptCount val="1"/>
                <c:pt idx="0">
                  <c:v>перед поступл.в ДДУ</c:v>
                </c:pt>
              </c:strCache>
            </c:strRef>
          </c:tx>
          <c:dLbls>
            <c:dLbl>
              <c:idx val="0"/>
              <c:layout>
                <c:manualLayout>
                  <c:x val="-8.333333333333354E-3"/>
                  <c:y val="0"/>
                </c:manualLayout>
              </c:layout>
              <c:showVal val="1"/>
            </c:dLbl>
            <c:showVal val="1"/>
          </c:dLbls>
          <c:cat>
            <c:numRef>
              <c:f>Лист1!$H$14:$J$14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Лист1!$H$15:$J$15</c:f>
              <c:numCache>
                <c:formatCode>General</c:formatCode>
                <c:ptCount val="3"/>
                <c:pt idx="0">
                  <c:v>6.9</c:v>
                </c:pt>
                <c:pt idx="1">
                  <c:v>1.3</c:v>
                </c:pt>
                <c:pt idx="2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перед поступл.в школу</c:v>
                </c:pt>
              </c:strCache>
            </c:strRef>
          </c:tx>
          <c:dLbls>
            <c:dLbl>
              <c:idx val="0"/>
              <c:layout>
                <c:manualLayout>
                  <c:x val="2.7777777777778182E-3"/>
                  <c:y val="-1.8518518518518556E-2"/>
                </c:manualLayout>
              </c:layout>
              <c:showVal val="1"/>
            </c:dLbl>
            <c:showVal val="1"/>
          </c:dLbls>
          <c:cat>
            <c:numRef>
              <c:f>Лист1!$H$14:$J$14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Лист1!$H$16:$J$16</c:f>
              <c:numCache>
                <c:formatCode>General</c:formatCode>
                <c:ptCount val="3"/>
                <c:pt idx="0">
                  <c:v>6.2</c:v>
                </c:pt>
                <c:pt idx="1">
                  <c:v>4.9000000000000004</c:v>
                </c:pt>
                <c:pt idx="2">
                  <c:v>6.2</c:v>
                </c:pt>
              </c:numCache>
            </c:numRef>
          </c:val>
        </c:ser>
        <c:ser>
          <c:idx val="2"/>
          <c:order val="2"/>
          <c:tx>
            <c:strRef>
              <c:f>Лист1!$A$17</c:f>
              <c:strCache>
                <c:ptCount val="1"/>
                <c:pt idx="0">
                  <c:v>в конце 1 г.обучения</c:v>
                </c:pt>
              </c:strCache>
            </c:strRef>
          </c:tx>
          <c:dLbls>
            <c:dLbl>
              <c:idx val="0"/>
              <c:layout>
                <c:manualLayout>
                  <c:x val="-8.333333333333354E-3"/>
                  <c:y val="4.6296296296296433E-3"/>
                </c:manualLayout>
              </c:layout>
              <c:showVal val="1"/>
            </c:dLbl>
            <c:showVal val="1"/>
          </c:dLbls>
          <c:cat>
            <c:numRef>
              <c:f>Лист1!$H$14:$J$14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Лист1!$H$17:$J$17</c:f>
              <c:numCache>
                <c:formatCode>General</c:formatCode>
                <c:ptCount val="3"/>
                <c:pt idx="0">
                  <c:v>10.9</c:v>
                </c:pt>
                <c:pt idx="1">
                  <c:v>8.6</c:v>
                </c:pt>
                <c:pt idx="2">
                  <c:v>9.9</c:v>
                </c:pt>
              </c:numCache>
            </c:numRef>
          </c:val>
        </c:ser>
        <c:ser>
          <c:idx val="3"/>
          <c:order val="3"/>
          <c:tx>
            <c:strRef>
              <c:f>Лист1!$A$18</c:f>
              <c:strCache>
                <c:ptCount val="1"/>
                <c:pt idx="0">
                  <c:v>4-5 классы</c:v>
                </c:pt>
              </c:strCache>
            </c:strRef>
          </c:tx>
          <c:dLbls>
            <c:showVal val="1"/>
          </c:dLbls>
          <c:cat>
            <c:numRef>
              <c:f>Лист1!$H$14:$J$14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Лист1!$H$18:$J$18</c:f>
              <c:numCache>
                <c:formatCode>General</c:formatCode>
                <c:ptCount val="3"/>
                <c:pt idx="0">
                  <c:v>11.3</c:v>
                </c:pt>
                <c:pt idx="1">
                  <c:v>10.200000000000001</c:v>
                </c:pt>
                <c:pt idx="2">
                  <c:v>11.1</c:v>
                </c:pt>
              </c:numCache>
            </c:numRef>
          </c:val>
        </c:ser>
        <c:ser>
          <c:idx val="4"/>
          <c:order val="4"/>
          <c:tx>
            <c:strRef>
              <c:f>Лист1!$A$19</c:f>
              <c:strCache>
                <c:ptCount val="1"/>
                <c:pt idx="0">
                  <c:v>в возр 15л.включит.</c:v>
                </c:pt>
              </c:strCache>
            </c:strRef>
          </c:tx>
          <c:dLbls>
            <c:showVal val="1"/>
          </c:dLbls>
          <c:cat>
            <c:numRef>
              <c:f>Лист1!$H$14:$J$14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Лист1!$H$19:$J$19</c:f>
              <c:numCache>
                <c:formatCode>General</c:formatCode>
                <c:ptCount val="3"/>
                <c:pt idx="0">
                  <c:v>15.5</c:v>
                </c:pt>
                <c:pt idx="1">
                  <c:v>13.8</c:v>
                </c:pt>
                <c:pt idx="2">
                  <c:v>15.9</c:v>
                </c:pt>
              </c:numCache>
            </c:numRef>
          </c:val>
        </c:ser>
        <c:shape val="cylinder"/>
        <c:axId val="56367744"/>
        <c:axId val="56467840"/>
        <c:axId val="0"/>
      </c:bar3DChart>
      <c:catAx>
        <c:axId val="56367744"/>
        <c:scaling>
          <c:orientation val="minMax"/>
        </c:scaling>
        <c:axPos val="b"/>
        <c:numFmt formatCode="General" sourceLinked="1"/>
        <c:tickLblPos val="nextTo"/>
        <c:crossAx val="56467840"/>
        <c:crosses val="autoZero"/>
        <c:auto val="1"/>
        <c:lblAlgn val="ctr"/>
        <c:lblOffset val="100"/>
      </c:catAx>
      <c:valAx>
        <c:axId val="564678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числа осмотренных</a:t>
                </a:r>
              </a:p>
            </c:rich>
          </c:tx>
        </c:title>
        <c:numFmt formatCode="General" sourceLinked="1"/>
        <c:tickLblPos val="nextTo"/>
        <c:crossAx val="5636774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перед поступл.в ДДУ</c:v>
                </c:pt>
              </c:strCache>
            </c:strRef>
          </c:tx>
          <c:dLbls>
            <c:showVal val="1"/>
          </c:dLbls>
          <c:cat>
            <c:numRef>
              <c:f>Лист1!$H$5:$J$5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Лист1!$H$6:$J$6</c:f>
              <c:numCache>
                <c:formatCode>General</c:formatCode>
                <c:ptCount val="3"/>
                <c:pt idx="0">
                  <c:v>0.60000000000000031</c:v>
                </c:pt>
                <c:pt idx="1">
                  <c:v>1.4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перед поступл.в школу</c:v>
                </c:pt>
              </c:strCache>
            </c:strRef>
          </c:tx>
          <c:dLbls>
            <c:showVal val="1"/>
          </c:dLbls>
          <c:cat>
            <c:numRef>
              <c:f>Лист1!$H$5:$J$5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Лист1!$H$7:$J$7</c:f>
              <c:numCache>
                <c:formatCode>General</c:formatCode>
                <c:ptCount val="3"/>
                <c:pt idx="0" formatCode="0.0">
                  <c:v>1</c:v>
                </c:pt>
                <c:pt idx="1">
                  <c:v>1</c:v>
                </c:pt>
                <c:pt idx="2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в конце 1 г.обучения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numRef>
              <c:f>Лист1!$H$5:$J$5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Лист1!$H$8:$J$8</c:f>
              <c:numCache>
                <c:formatCode>General</c:formatCode>
                <c:ptCount val="3"/>
                <c:pt idx="0" formatCode="0.0">
                  <c:v>2</c:v>
                </c:pt>
                <c:pt idx="1">
                  <c:v>1.9000000000000001</c:v>
                </c:pt>
                <c:pt idx="2">
                  <c:v>1.7</c:v>
                </c:pt>
              </c:numCache>
            </c:numRef>
          </c:val>
        </c:ser>
        <c:ser>
          <c:idx val="3"/>
          <c:order val="3"/>
          <c:tx>
            <c:strRef>
              <c:f>Лист1!$A$9</c:f>
              <c:strCache>
                <c:ptCount val="1"/>
                <c:pt idx="0">
                  <c:v>4-5 классы</c:v>
                </c:pt>
              </c:strCache>
            </c:strRef>
          </c:tx>
          <c:dLbls>
            <c:showVal val="1"/>
          </c:dLbls>
          <c:cat>
            <c:numRef>
              <c:f>Лист1!$H$5:$J$5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Лист1!$H$9:$J$9</c:f>
              <c:numCache>
                <c:formatCode>General</c:formatCode>
                <c:ptCount val="3"/>
                <c:pt idx="0">
                  <c:v>2.8</c:v>
                </c:pt>
                <c:pt idx="1">
                  <c:v>2.6</c:v>
                </c:pt>
                <c:pt idx="2">
                  <c:v>2.5</c:v>
                </c:pt>
              </c:numCache>
            </c:numRef>
          </c:val>
        </c:ser>
        <c:ser>
          <c:idx val="4"/>
          <c:order val="4"/>
          <c:tx>
            <c:strRef>
              <c:f>Лист1!$A$10</c:f>
              <c:strCache>
                <c:ptCount val="1"/>
                <c:pt idx="0">
                  <c:v>в возр 15л.включит.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numRef>
              <c:f>Лист1!$H$5:$J$5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Лист1!$H$10:$J$10</c:f>
              <c:numCache>
                <c:formatCode>General</c:formatCode>
                <c:ptCount val="3"/>
                <c:pt idx="0">
                  <c:v>6.5</c:v>
                </c:pt>
                <c:pt idx="1">
                  <c:v>6.3</c:v>
                </c:pt>
                <c:pt idx="2">
                  <c:v>4.8</c:v>
                </c:pt>
              </c:numCache>
            </c:numRef>
          </c:val>
        </c:ser>
        <c:shape val="cylinder"/>
        <c:axId val="56694272"/>
        <c:axId val="56696192"/>
        <c:axId val="0"/>
      </c:bar3DChart>
      <c:catAx>
        <c:axId val="56694272"/>
        <c:scaling>
          <c:orientation val="minMax"/>
        </c:scaling>
        <c:axPos val="b"/>
        <c:numFmt formatCode="General" sourceLinked="1"/>
        <c:tickLblPos val="nextTo"/>
        <c:crossAx val="56696192"/>
        <c:crosses val="autoZero"/>
        <c:auto val="1"/>
        <c:lblAlgn val="ctr"/>
        <c:lblOffset val="100"/>
      </c:catAx>
      <c:valAx>
        <c:axId val="566961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осмотренных</a:t>
                </a:r>
              </a:p>
            </c:rich>
          </c:tx>
          <c:layout>
            <c:manualLayout>
              <c:xMode val="edge"/>
              <c:yMode val="edge"/>
              <c:x val="2.7153324584426996E-2"/>
              <c:y val="0.1536278798483523"/>
            </c:manualLayout>
          </c:layout>
        </c:title>
        <c:numFmt formatCode="General" sourceLinked="1"/>
        <c:tickLblPos val="nextTo"/>
        <c:crossAx val="5669427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Лист1!$A$22</c:f>
              <c:strCache>
                <c:ptCount val="1"/>
                <c:pt idx="0">
                  <c:v>перед поступл.в ДДУ</c:v>
                </c:pt>
              </c:strCache>
            </c:strRef>
          </c:tx>
          <c:dLbls>
            <c:showVal val="1"/>
          </c:dLbls>
          <c:cat>
            <c:numRef>
              <c:f>Лист1!$H$5:$J$5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Лист1!$H$22:$J$22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1.9000000000000001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перед поступл.в школу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showVal val="1"/>
          </c:dLbls>
          <c:cat>
            <c:numRef>
              <c:f>Лист1!$H$5:$J$5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Лист1!$H$23:$J$23</c:f>
              <c:numCache>
                <c:formatCode>General</c:formatCode>
                <c:ptCount val="3"/>
                <c:pt idx="0">
                  <c:v>5</c:v>
                </c:pt>
                <c:pt idx="1">
                  <c:v>5.7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Лист1!$A$24</c:f>
              <c:strCache>
                <c:ptCount val="1"/>
                <c:pt idx="0">
                  <c:v>в конце 1 г.обучения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numRef>
              <c:f>Лист1!$H$5:$J$5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Лист1!$H$24:$J$24</c:f>
              <c:numCache>
                <c:formatCode>General</c:formatCode>
                <c:ptCount val="3"/>
                <c:pt idx="0">
                  <c:v>9</c:v>
                </c:pt>
                <c:pt idx="1">
                  <c:v>9.7000000000000011</c:v>
                </c:pt>
                <c:pt idx="2">
                  <c:v>9.6</c:v>
                </c:pt>
              </c:numCache>
            </c:numRef>
          </c:val>
        </c:ser>
        <c:ser>
          <c:idx val="3"/>
          <c:order val="3"/>
          <c:tx>
            <c:strRef>
              <c:f>Лист1!$A$25</c:f>
              <c:strCache>
                <c:ptCount val="1"/>
                <c:pt idx="0">
                  <c:v>4-5 классы</c:v>
                </c:pt>
              </c:strCache>
            </c:strRef>
          </c:tx>
          <c:dLbls>
            <c:showVal val="1"/>
          </c:dLbls>
          <c:cat>
            <c:numRef>
              <c:f>Лист1!$H$5:$J$5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Лист1!$H$25:$J$25</c:f>
              <c:numCache>
                <c:formatCode>General</c:formatCode>
                <c:ptCount val="3"/>
                <c:pt idx="0">
                  <c:v>10.200000000000001</c:v>
                </c:pt>
                <c:pt idx="1">
                  <c:v>11.7</c:v>
                </c:pt>
                <c:pt idx="2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Лист1!$A$26</c:f>
              <c:strCache>
                <c:ptCount val="1"/>
                <c:pt idx="0">
                  <c:v>в возр 15л.включит.</c:v>
                </c:pt>
              </c:strCache>
            </c:strRef>
          </c:tx>
          <c:dLbls>
            <c:showVal val="1"/>
          </c:dLbls>
          <c:cat>
            <c:numRef>
              <c:f>Лист1!$H$5:$J$5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Лист1!$H$26:$J$26</c:f>
              <c:numCache>
                <c:formatCode>General</c:formatCode>
                <c:ptCount val="3"/>
                <c:pt idx="0">
                  <c:v>16.2</c:v>
                </c:pt>
                <c:pt idx="1">
                  <c:v>14.5</c:v>
                </c:pt>
                <c:pt idx="2">
                  <c:v>16.7</c:v>
                </c:pt>
              </c:numCache>
            </c:numRef>
          </c:val>
        </c:ser>
        <c:shape val="cylinder"/>
        <c:axId val="56959360"/>
        <c:axId val="56961280"/>
        <c:axId val="0"/>
      </c:bar3DChart>
      <c:catAx>
        <c:axId val="56959360"/>
        <c:scaling>
          <c:orientation val="minMax"/>
        </c:scaling>
        <c:axPos val="b"/>
        <c:numFmt formatCode="General" sourceLinked="1"/>
        <c:tickLblPos val="nextTo"/>
        <c:crossAx val="56961280"/>
        <c:crosses val="autoZero"/>
        <c:auto val="1"/>
        <c:lblAlgn val="ctr"/>
        <c:lblOffset val="100"/>
      </c:catAx>
      <c:valAx>
        <c:axId val="569612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осмотренных</a:t>
                </a:r>
              </a:p>
            </c:rich>
          </c:tx>
        </c:title>
        <c:numFmt formatCode="General" sourceLinked="1"/>
        <c:tickLblPos val="nextTo"/>
        <c:crossAx val="5695936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835E5-ACF5-400B-BE80-9E7E2C5C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8</cp:revision>
  <cp:lastPrinted>2015-11-20T08:10:00Z</cp:lastPrinted>
  <dcterms:created xsi:type="dcterms:W3CDTF">2015-11-20T07:38:00Z</dcterms:created>
  <dcterms:modified xsi:type="dcterms:W3CDTF">2016-09-30T11:45:00Z</dcterms:modified>
</cp:coreProperties>
</file>